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50" w:rsidRPr="007B4831" w:rsidRDefault="00912650" w:rsidP="00912650">
      <w:pPr>
        <w:pStyle w:val="Heading1"/>
      </w:pPr>
      <w:bookmarkStart w:id="0" w:name="_Toc261675370"/>
      <w:r w:rsidRPr="007B4831">
        <w:t>Checklist</w:t>
      </w:r>
      <w:r>
        <w:t xml:space="preserve"> </w:t>
      </w:r>
      <w:r w:rsidR="00375A53">
        <w:t>Meldcode</w:t>
      </w:r>
      <w:r w:rsidR="00C6791A">
        <w:t xml:space="preserve"> </w:t>
      </w:r>
      <w:r w:rsidR="009C4D97">
        <w:t>H</w:t>
      </w:r>
      <w:r w:rsidRPr="007B4831">
        <w:t xml:space="preserve">uiselijk geweld en </w:t>
      </w:r>
      <w:r w:rsidR="009C4D97">
        <w:t>K</w:t>
      </w:r>
      <w:r w:rsidRPr="007B4831">
        <w:t>indermishandeling</w:t>
      </w:r>
      <w:bookmarkEnd w:id="0"/>
    </w:p>
    <w:p w:rsidR="00912650" w:rsidRDefault="00912650" w:rsidP="00912650">
      <w:r w:rsidRPr="007B4831">
        <w:t>In onderstaande lijst kunt u in één oogopslag beoordelen hoe uw organisatie is toeger</w:t>
      </w:r>
      <w:r w:rsidR="009C4D97">
        <w:t xml:space="preserve">ust volgens de richtlijnen van </w:t>
      </w:r>
      <w:r w:rsidR="00C6791A">
        <w:t>Meldcode</w:t>
      </w:r>
      <w:r w:rsidR="00B06822">
        <w:t xml:space="preserve"> </w:t>
      </w:r>
      <w:r w:rsidRPr="007B4831">
        <w:t>Huiselijk Geweld en Kindermishandeling</w:t>
      </w:r>
      <w:r w:rsidR="00132BE7">
        <w:t>.</w:t>
      </w:r>
      <w:r w:rsidRPr="007B4831">
        <w:t xml:space="preserve"> </w:t>
      </w:r>
    </w:p>
    <w:p w:rsidR="00132BE7" w:rsidRPr="007B4831" w:rsidRDefault="00132BE7" w:rsidP="009126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6301"/>
        <w:gridCol w:w="622"/>
        <w:gridCol w:w="977"/>
        <w:gridCol w:w="741"/>
      </w:tblGrid>
      <w:tr w:rsidR="00912650" w:rsidRPr="007B4831" w:rsidTr="00912650"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650" w:rsidRPr="007B4831" w:rsidRDefault="00912650" w:rsidP="00912650">
            <w:pPr>
              <w:rPr>
                <w:rStyle w:val="Standaardvet"/>
              </w:rPr>
            </w:pPr>
            <w:r w:rsidRPr="007B4831">
              <w:rPr>
                <w:rStyle w:val="Standaardvet"/>
              </w:rPr>
              <w:t>1.</w:t>
            </w:r>
          </w:p>
        </w:tc>
        <w:tc>
          <w:tcPr>
            <w:tcW w:w="3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650" w:rsidRPr="007B4831" w:rsidRDefault="00375A53" w:rsidP="00912650">
            <w:pPr>
              <w:rPr>
                <w:rStyle w:val="Standaardvet"/>
              </w:rPr>
            </w:pPr>
            <w:r>
              <w:rPr>
                <w:rStyle w:val="Standaardvet"/>
              </w:rPr>
              <w:t>Meldcode</w:t>
            </w:r>
          </w:p>
        </w:tc>
        <w:tc>
          <w:tcPr>
            <w:tcW w:w="335" w:type="pct"/>
            <w:tcBorders>
              <w:top w:val="single" w:sz="4" w:space="0" w:color="auto"/>
            </w:tcBorders>
            <w:vAlign w:val="center"/>
          </w:tcPr>
          <w:p w:rsidR="00912650" w:rsidRPr="007B4831" w:rsidRDefault="00912650" w:rsidP="00912650">
            <w:pPr>
              <w:rPr>
                <w:rStyle w:val="Standaardvet"/>
              </w:rPr>
            </w:pPr>
            <w:r w:rsidRPr="007B4831">
              <w:rPr>
                <w:rStyle w:val="Standaardvet"/>
              </w:rPr>
              <w:t>In orde</w:t>
            </w:r>
          </w:p>
        </w:tc>
        <w:tc>
          <w:tcPr>
            <w:tcW w:w="526" w:type="pct"/>
            <w:tcBorders>
              <w:top w:val="single" w:sz="4" w:space="0" w:color="auto"/>
            </w:tcBorders>
            <w:vAlign w:val="center"/>
          </w:tcPr>
          <w:p w:rsidR="00912650" w:rsidRPr="007B4831" w:rsidRDefault="00912650" w:rsidP="00912650">
            <w:pPr>
              <w:rPr>
                <w:rStyle w:val="Standaardvet"/>
              </w:rPr>
            </w:pPr>
            <w:r w:rsidRPr="007B4831">
              <w:rPr>
                <w:rStyle w:val="Standaardvet"/>
              </w:rPr>
              <w:t>Actie gewenst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912650" w:rsidRPr="007B4831" w:rsidRDefault="00912650" w:rsidP="00912650">
            <w:pPr>
              <w:rPr>
                <w:rStyle w:val="Standaardvet"/>
              </w:rPr>
            </w:pPr>
            <w:r w:rsidRPr="007B4831">
              <w:rPr>
                <w:rStyle w:val="Standaardvet"/>
              </w:rPr>
              <w:t>N.v.t.</w:t>
            </w:r>
          </w:p>
        </w:tc>
      </w:tr>
      <w:tr w:rsidR="00912650" w:rsidRPr="00FA7DCF" w:rsidTr="00912650"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912650" w:rsidRPr="007B4831" w:rsidRDefault="00912650" w:rsidP="00912650">
            <w:r w:rsidRPr="007B4831">
              <w:t>1.1</w:t>
            </w:r>
          </w:p>
        </w:tc>
        <w:tc>
          <w:tcPr>
            <w:tcW w:w="3392" w:type="pct"/>
            <w:tcBorders>
              <w:top w:val="single" w:sz="4" w:space="0" w:color="auto"/>
            </w:tcBorders>
            <w:vAlign w:val="center"/>
          </w:tcPr>
          <w:p w:rsidR="00912650" w:rsidRPr="007B4831" w:rsidRDefault="00912650" w:rsidP="00D07424">
            <w:r w:rsidRPr="007B4831">
              <w:t xml:space="preserve">Er is een </w:t>
            </w:r>
            <w:r w:rsidR="00174745">
              <w:t>organisatie</w:t>
            </w:r>
            <w:r w:rsidR="00D07424">
              <w:t>-</w:t>
            </w:r>
            <w:r w:rsidR="00174745">
              <w:t xml:space="preserve">specifieke </w:t>
            </w:r>
            <w:r w:rsidR="00375A53">
              <w:t>meldcode</w:t>
            </w:r>
            <w:r w:rsidR="00CE7C1D">
              <w:t xml:space="preserve"> </w:t>
            </w:r>
            <w:r w:rsidR="00D07424">
              <w:t>met bijbehorend afwegingskader aanwezig.</w:t>
            </w:r>
          </w:p>
        </w:tc>
        <w:tc>
          <w:tcPr>
            <w:tcW w:w="335" w:type="pct"/>
            <w:vAlign w:val="center"/>
          </w:tcPr>
          <w:p w:rsidR="00912650" w:rsidRPr="007B4831" w:rsidRDefault="00912650" w:rsidP="00912650"/>
        </w:tc>
        <w:tc>
          <w:tcPr>
            <w:tcW w:w="526" w:type="pct"/>
            <w:vAlign w:val="center"/>
          </w:tcPr>
          <w:p w:rsidR="00912650" w:rsidRPr="007B4831" w:rsidRDefault="00912650" w:rsidP="00912650"/>
        </w:tc>
        <w:tc>
          <w:tcPr>
            <w:tcW w:w="399" w:type="pct"/>
            <w:vAlign w:val="center"/>
          </w:tcPr>
          <w:p w:rsidR="00912650" w:rsidRPr="007B4831" w:rsidRDefault="00912650" w:rsidP="00912650"/>
        </w:tc>
      </w:tr>
      <w:tr w:rsidR="00912650" w:rsidRPr="00FA7DCF" w:rsidTr="00912650">
        <w:tc>
          <w:tcPr>
            <w:tcW w:w="348" w:type="pct"/>
            <w:vAlign w:val="center"/>
          </w:tcPr>
          <w:p w:rsidR="00912650" w:rsidRPr="007B4831" w:rsidRDefault="00912650" w:rsidP="00912650">
            <w:r w:rsidRPr="007B4831">
              <w:t>1.2</w:t>
            </w:r>
          </w:p>
        </w:tc>
        <w:tc>
          <w:tcPr>
            <w:tcW w:w="3392" w:type="pct"/>
            <w:vAlign w:val="center"/>
          </w:tcPr>
          <w:p w:rsidR="00912650" w:rsidRPr="007B4831" w:rsidRDefault="00912650" w:rsidP="00132BE7">
            <w:r w:rsidRPr="007B4831">
              <w:t xml:space="preserve">Alle medewerkers weten </w:t>
            </w:r>
            <w:r w:rsidR="00132BE7">
              <w:t>de</w:t>
            </w:r>
            <w:r w:rsidRPr="007B4831">
              <w:t xml:space="preserve"> </w:t>
            </w:r>
            <w:r w:rsidR="00375A53">
              <w:t>meldcode</w:t>
            </w:r>
            <w:r w:rsidR="00B06822">
              <w:t xml:space="preserve"> </w:t>
            </w:r>
            <w:r w:rsidR="00174745">
              <w:t>te vinden,</w:t>
            </w:r>
            <w:r w:rsidRPr="007B4831">
              <w:t xml:space="preserve"> kennen de inhoud en het beoogde doel.</w:t>
            </w:r>
          </w:p>
        </w:tc>
        <w:tc>
          <w:tcPr>
            <w:tcW w:w="335" w:type="pct"/>
            <w:vAlign w:val="center"/>
          </w:tcPr>
          <w:p w:rsidR="00912650" w:rsidRPr="007B4831" w:rsidRDefault="00912650" w:rsidP="00912650"/>
        </w:tc>
        <w:tc>
          <w:tcPr>
            <w:tcW w:w="526" w:type="pct"/>
            <w:vAlign w:val="center"/>
          </w:tcPr>
          <w:p w:rsidR="00912650" w:rsidRPr="007B4831" w:rsidRDefault="00912650" w:rsidP="00912650"/>
        </w:tc>
        <w:tc>
          <w:tcPr>
            <w:tcW w:w="399" w:type="pct"/>
            <w:vAlign w:val="center"/>
          </w:tcPr>
          <w:p w:rsidR="00912650" w:rsidRPr="007B4831" w:rsidRDefault="00912650" w:rsidP="00912650"/>
        </w:tc>
      </w:tr>
      <w:tr w:rsidR="00912650" w:rsidRPr="00FA7DCF" w:rsidTr="00912650">
        <w:tc>
          <w:tcPr>
            <w:tcW w:w="348" w:type="pct"/>
            <w:vAlign w:val="center"/>
          </w:tcPr>
          <w:p w:rsidR="00912650" w:rsidRPr="007B4831" w:rsidRDefault="00912650" w:rsidP="00912650">
            <w:r w:rsidRPr="007B4831">
              <w:t>1.3</w:t>
            </w:r>
          </w:p>
        </w:tc>
        <w:tc>
          <w:tcPr>
            <w:tcW w:w="3392" w:type="pct"/>
            <w:vAlign w:val="center"/>
          </w:tcPr>
          <w:p w:rsidR="00912650" w:rsidRPr="007B4831" w:rsidRDefault="00132BE7" w:rsidP="00912650">
            <w:r>
              <w:t>De</w:t>
            </w:r>
            <w:r w:rsidR="00912650" w:rsidRPr="007B4831">
              <w:t xml:space="preserve"> </w:t>
            </w:r>
            <w:r w:rsidR="00375A53">
              <w:t>meldcode</w:t>
            </w:r>
            <w:r w:rsidR="00B06822">
              <w:t xml:space="preserve"> </w:t>
            </w:r>
            <w:r w:rsidR="00912650" w:rsidRPr="007B4831">
              <w:t xml:space="preserve">bevat een duidelijk stappenplan met </w:t>
            </w:r>
            <w:r>
              <w:t xml:space="preserve">uitleg </w:t>
            </w:r>
            <w:r w:rsidR="00912650" w:rsidRPr="007B4831">
              <w:t>welke stappen gezet dienen te worden.</w:t>
            </w:r>
          </w:p>
        </w:tc>
        <w:tc>
          <w:tcPr>
            <w:tcW w:w="335" w:type="pct"/>
            <w:vAlign w:val="center"/>
          </w:tcPr>
          <w:p w:rsidR="00912650" w:rsidRPr="007B4831" w:rsidRDefault="00912650" w:rsidP="00912650"/>
        </w:tc>
        <w:tc>
          <w:tcPr>
            <w:tcW w:w="526" w:type="pct"/>
            <w:vAlign w:val="center"/>
          </w:tcPr>
          <w:p w:rsidR="00912650" w:rsidRPr="007B4831" w:rsidRDefault="00912650" w:rsidP="00912650"/>
        </w:tc>
        <w:tc>
          <w:tcPr>
            <w:tcW w:w="399" w:type="pct"/>
            <w:vAlign w:val="center"/>
          </w:tcPr>
          <w:p w:rsidR="00912650" w:rsidRPr="007B4831" w:rsidRDefault="00912650" w:rsidP="00912650"/>
        </w:tc>
      </w:tr>
      <w:tr w:rsidR="00912650" w:rsidRPr="00FA7DCF" w:rsidTr="00912650">
        <w:tc>
          <w:tcPr>
            <w:tcW w:w="348" w:type="pct"/>
            <w:vAlign w:val="center"/>
          </w:tcPr>
          <w:p w:rsidR="00912650" w:rsidRPr="007B4831" w:rsidRDefault="00912650" w:rsidP="00912650">
            <w:r w:rsidRPr="007B4831">
              <w:t>1.4</w:t>
            </w:r>
          </w:p>
        </w:tc>
        <w:tc>
          <w:tcPr>
            <w:tcW w:w="3392" w:type="pct"/>
            <w:vAlign w:val="center"/>
          </w:tcPr>
          <w:p w:rsidR="00912650" w:rsidRPr="007B4831" w:rsidRDefault="00CE7C1D" w:rsidP="00CE7C1D">
            <w:r>
              <w:t>In het</w:t>
            </w:r>
            <w:r w:rsidR="00912650" w:rsidRPr="007B4831">
              <w:t xml:space="preserve"> </w:t>
            </w:r>
            <w:r w:rsidR="00375A53">
              <w:t>meldcode</w:t>
            </w:r>
            <w:r w:rsidR="00B06822">
              <w:t xml:space="preserve"> </w:t>
            </w:r>
            <w:r w:rsidR="00912650" w:rsidRPr="007B4831">
              <w:t>zijn de verantwoordelijkheden helder omschreven (functie en persoon).</w:t>
            </w:r>
          </w:p>
        </w:tc>
        <w:tc>
          <w:tcPr>
            <w:tcW w:w="335" w:type="pct"/>
            <w:vAlign w:val="center"/>
          </w:tcPr>
          <w:p w:rsidR="00912650" w:rsidRPr="007B4831" w:rsidRDefault="00912650" w:rsidP="00912650"/>
        </w:tc>
        <w:tc>
          <w:tcPr>
            <w:tcW w:w="526" w:type="pct"/>
            <w:vAlign w:val="center"/>
          </w:tcPr>
          <w:p w:rsidR="00912650" w:rsidRPr="007B4831" w:rsidRDefault="00912650" w:rsidP="00912650"/>
        </w:tc>
        <w:tc>
          <w:tcPr>
            <w:tcW w:w="399" w:type="pct"/>
            <w:vAlign w:val="center"/>
          </w:tcPr>
          <w:p w:rsidR="00912650" w:rsidRPr="007B4831" w:rsidRDefault="00912650" w:rsidP="00912650"/>
        </w:tc>
      </w:tr>
      <w:tr w:rsidR="00912650" w:rsidRPr="00FA7DCF" w:rsidTr="00912650"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912650" w:rsidRPr="007B4831" w:rsidRDefault="00CE7C1D" w:rsidP="00912650">
            <w:r>
              <w:t>1.5</w:t>
            </w:r>
          </w:p>
        </w:tc>
        <w:tc>
          <w:tcPr>
            <w:tcW w:w="3392" w:type="pct"/>
            <w:tcBorders>
              <w:bottom w:val="single" w:sz="4" w:space="0" w:color="auto"/>
            </w:tcBorders>
            <w:vAlign w:val="center"/>
          </w:tcPr>
          <w:p w:rsidR="00912650" w:rsidRPr="007B4831" w:rsidRDefault="00912650" w:rsidP="00912650">
            <w:r w:rsidRPr="007B4831">
              <w:t xml:space="preserve">De </w:t>
            </w:r>
            <w:r w:rsidR="00375A53">
              <w:t>meldcode</w:t>
            </w:r>
            <w:r w:rsidR="00B06822">
              <w:t xml:space="preserve"> </w:t>
            </w:r>
            <w:r w:rsidRPr="007B4831">
              <w:t xml:space="preserve">wordt regelmatig geëvalueerd  en </w:t>
            </w:r>
            <w:r w:rsidR="009C4D97">
              <w:t xml:space="preserve">indien nodig </w:t>
            </w:r>
            <w:r w:rsidRPr="007B4831">
              <w:t>bijgesteld.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912650" w:rsidRPr="007B4831" w:rsidRDefault="00912650" w:rsidP="00912650"/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912650" w:rsidRPr="007B4831" w:rsidRDefault="00912650" w:rsidP="00912650"/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:rsidR="00912650" w:rsidRPr="007B4831" w:rsidRDefault="00912650" w:rsidP="00912650"/>
        </w:tc>
      </w:tr>
      <w:tr w:rsidR="00912650" w:rsidRPr="00FA7DCF" w:rsidTr="00912650">
        <w:tc>
          <w:tcPr>
            <w:tcW w:w="348" w:type="pct"/>
            <w:tcBorders>
              <w:left w:val="nil"/>
              <w:right w:val="nil"/>
            </w:tcBorders>
            <w:vAlign w:val="center"/>
          </w:tcPr>
          <w:p w:rsidR="00912650" w:rsidRPr="007B4831" w:rsidRDefault="00912650" w:rsidP="00912650"/>
          <w:p w:rsidR="00912650" w:rsidRPr="007B4831" w:rsidRDefault="00912650" w:rsidP="00912650"/>
        </w:tc>
        <w:tc>
          <w:tcPr>
            <w:tcW w:w="3392" w:type="pct"/>
            <w:tcBorders>
              <w:left w:val="nil"/>
              <w:right w:val="nil"/>
            </w:tcBorders>
            <w:vAlign w:val="center"/>
          </w:tcPr>
          <w:p w:rsidR="00912650" w:rsidRPr="007B4831" w:rsidRDefault="00912650" w:rsidP="00912650"/>
        </w:tc>
        <w:tc>
          <w:tcPr>
            <w:tcW w:w="335" w:type="pct"/>
            <w:tcBorders>
              <w:left w:val="nil"/>
              <w:right w:val="nil"/>
            </w:tcBorders>
            <w:vAlign w:val="center"/>
          </w:tcPr>
          <w:p w:rsidR="00912650" w:rsidRPr="007B4831" w:rsidRDefault="00912650" w:rsidP="00912650"/>
        </w:tc>
        <w:tc>
          <w:tcPr>
            <w:tcW w:w="526" w:type="pct"/>
            <w:tcBorders>
              <w:left w:val="nil"/>
              <w:right w:val="nil"/>
            </w:tcBorders>
            <w:vAlign w:val="center"/>
          </w:tcPr>
          <w:p w:rsidR="00912650" w:rsidRPr="007B4831" w:rsidRDefault="00912650" w:rsidP="00912650"/>
        </w:tc>
        <w:tc>
          <w:tcPr>
            <w:tcW w:w="399" w:type="pct"/>
            <w:tcBorders>
              <w:left w:val="nil"/>
              <w:right w:val="nil"/>
            </w:tcBorders>
            <w:vAlign w:val="center"/>
          </w:tcPr>
          <w:p w:rsidR="00912650" w:rsidRPr="007B4831" w:rsidRDefault="00912650" w:rsidP="00912650"/>
        </w:tc>
      </w:tr>
      <w:tr w:rsidR="00912650" w:rsidRPr="007B4831" w:rsidTr="00912650">
        <w:tc>
          <w:tcPr>
            <w:tcW w:w="348" w:type="pct"/>
            <w:vAlign w:val="center"/>
          </w:tcPr>
          <w:p w:rsidR="00912650" w:rsidRPr="007B4831" w:rsidRDefault="00912650" w:rsidP="00912650">
            <w:pPr>
              <w:rPr>
                <w:rStyle w:val="Standaardvet"/>
              </w:rPr>
            </w:pPr>
            <w:r w:rsidRPr="007B4831">
              <w:rPr>
                <w:rStyle w:val="Standaardvet"/>
              </w:rPr>
              <w:t>2.</w:t>
            </w:r>
          </w:p>
        </w:tc>
        <w:tc>
          <w:tcPr>
            <w:tcW w:w="3392" w:type="pct"/>
            <w:vAlign w:val="center"/>
          </w:tcPr>
          <w:p w:rsidR="00912650" w:rsidRPr="007B4831" w:rsidRDefault="00912650" w:rsidP="00912650">
            <w:pPr>
              <w:rPr>
                <w:rStyle w:val="Standaardvet"/>
              </w:rPr>
            </w:pPr>
            <w:r w:rsidRPr="007B4831">
              <w:rPr>
                <w:rStyle w:val="Standaardvet"/>
              </w:rPr>
              <w:t>Samenwerking</w:t>
            </w:r>
          </w:p>
        </w:tc>
        <w:tc>
          <w:tcPr>
            <w:tcW w:w="335" w:type="pct"/>
            <w:vAlign w:val="center"/>
          </w:tcPr>
          <w:p w:rsidR="00912650" w:rsidRPr="007B4831" w:rsidRDefault="00912650" w:rsidP="00912650">
            <w:pPr>
              <w:rPr>
                <w:rStyle w:val="Standaardvet"/>
              </w:rPr>
            </w:pPr>
            <w:r w:rsidRPr="007B4831">
              <w:rPr>
                <w:rStyle w:val="Standaardvet"/>
              </w:rPr>
              <w:t>In orde</w:t>
            </w:r>
          </w:p>
        </w:tc>
        <w:tc>
          <w:tcPr>
            <w:tcW w:w="526" w:type="pct"/>
            <w:vAlign w:val="center"/>
          </w:tcPr>
          <w:p w:rsidR="00912650" w:rsidRPr="007B4831" w:rsidRDefault="00912650" w:rsidP="00912650">
            <w:pPr>
              <w:rPr>
                <w:rStyle w:val="Standaardvet"/>
              </w:rPr>
            </w:pPr>
            <w:r w:rsidRPr="007B4831">
              <w:rPr>
                <w:rStyle w:val="Standaardvet"/>
              </w:rPr>
              <w:t>Actie gewenst</w:t>
            </w:r>
          </w:p>
        </w:tc>
        <w:tc>
          <w:tcPr>
            <w:tcW w:w="399" w:type="pct"/>
            <w:vAlign w:val="center"/>
          </w:tcPr>
          <w:p w:rsidR="00912650" w:rsidRPr="007B4831" w:rsidRDefault="00912650" w:rsidP="00912650">
            <w:pPr>
              <w:rPr>
                <w:rStyle w:val="Standaardvet"/>
              </w:rPr>
            </w:pPr>
            <w:r w:rsidRPr="007B4831">
              <w:rPr>
                <w:rStyle w:val="Standaardvet"/>
              </w:rPr>
              <w:t>N.v.t.</w:t>
            </w:r>
          </w:p>
        </w:tc>
      </w:tr>
      <w:tr w:rsidR="00912650" w:rsidRPr="00FA7DCF" w:rsidTr="00912650">
        <w:tc>
          <w:tcPr>
            <w:tcW w:w="348" w:type="pct"/>
            <w:vAlign w:val="center"/>
          </w:tcPr>
          <w:p w:rsidR="00912650" w:rsidRPr="007B4831" w:rsidRDefault="00912650" w:rsidP="00912650">
            <w:r w:rsidRPr="007B4831">
              <w:t>2.1</w:t>
            </w:r>
          </w:p>
        </w:tc>
        <w:tc>
          <w:tcPr>
            <w:tcW w:w="3392" w:type="pct"/>
            <w:vAlign w:val="center"/>
          </w:tcPr>
          <w:p w:rsidR="00912650" w:rsidRPr="007B4831" w:rsidRDefault="00912650" w:rsidP="00912650">
            <w:r w:rsidRPr="007B4831">
              <w:t>Er is goede samenwerking met of deelname aan het Zorgadviesteam.</w:t>
            </w:r>
          </w:p>
        </w:tc>
        <w:tc>
          <w:tcPr>
            <w:tcW w:w="335" w:type="pct"/>
            <w:vAlign w:val="center"/>
          </w:tcPr>
          <w:p w:rsidR="00912650" w:rsidRPr="007B4831" w:rsidRDefault="00912650" w:rsidP="00912650"/>
        </w:tc>
        <w:tc>
          <w:tcPr>
            <w:tcW w:w="526" w:type="pct"/>
            <w:vAlign w:val="center"/>
          </w:tcPr>
          <w:p w:rsidR="00912650" w:rsidRPr="007B4831" w:rsidRDefault="00912650" w:rsidP="00912650"/>
        </w:tc>
        <w:tc>
          <w:tcPr>
            <w:tcW w:w="399" w:type="pct"/>
            <w:vAlign w:val="center"/>
          </w:tcPr>
          <w:p w:rsidR="00912650" w:rsidRPr="007B4831" w:rsidRDefault="00912650" w:rsidP="00912650"/>
        </w:tc>
      </w:tr>
      <w:tr w:rsidR="00912650" w:rsidRPr="00FA7DCF" w:rsidTr="00912650">
        <w:tc>
          <w:tcPr>
            <w:tcW w:w="348" w:type="pct"/>
            <w:vAlign w:val="center"/>
          </w:tcPr>
          <w:p w:rsidR="00912650" w:rsidRPr="007B4831" w:rsidRDefault="00912650" w:rsidP="00912650">
            <w:r w:rsidRPr="007B4831">
              <w:t>2.2</w:t>
            </w:r>
          </w:p>
        </w:tc>
        <w:tc>
          <w:tcPr>
            <w:tcW w:w="3392" w:type="pct"/>
            <w:vAlign w:val="center"/>
          </w:tcPr>
          <w:p w:rsidR="00912650" w:rsidRPr="007B4831" w:rsidRDefault="00912650" w:rsidP="00375A53">
            <w:r w:rsidRPr="007B4831">
              <w:t xml:space="preserve">Er is goede samenwerking met of deelname aan het </w:t>
            </w:r>
            <w:r w:rsidR="00375A53">
              <w:t>OKT</w:t>
            </w:r>
          </w:p>
        </w:tc>
        <w:tc>
          <w:tcPr>
            <w:tcW w:w="335" w:type="pct"/>
            <w:vAlign w:val="center"/>
          </w:tcPr>
          <w:p w:rsidR="00912650" w:rsidRPr="007B4831" w:rsidRDefault="00912650" w:rsidP="00912650"/>
        </w:tc>
        <w:tc>
          <w:tcPr>
            <w:tcW w:w="526" w:type="pct"/>
            <w:vAlign w:val="center"/>
          </w:tcPr>
          <w:p w:rsidR="00912650" w:rsidRPr="007B4831" w:rsidRDefault="00912650" w:rsidP="00912650"/>
        </w:tc>
        <w:tc>
          <w:tcPr>
            <w:tcW w:w="399" w:type="pct"/>
            <w:vAlign w:val="center"/>
          </w:tcPr>
          <w:p w:rsidR="00912650" w:rsidRPr="007B4831" w:rsidRDefault="00912650" w:rsidP="00912650"/>
        </w:tc>
      </w:tr>
      <w:tr w:rsidR="00912650" w:rsidRPr="00FA7DCF" w:rsidTr="00912650">
        <w:tc>
          <w:tcPr>
            <w:tcW w:w="348" w:type="pct"/>
            <w:vAlign w:val="center"/>
          </w:tcPr>
          <w:p w:rsidR="00912650" w:rsidRPr="007B4831" w:rsidRDefault="00912650" w:rsidP="00912650">
            <w:r w:rsidRPr="007B4831">
              <w:t>2.3</w:t>
            </w:r>
          </w:p>
        </w:tc>
        <w:tc>
          <w:tcPr>
            <w:tcW w:w="3392" w:type="pct"/>
            <w:vAlign w:val="center"/>
          </w:tcPr>
          <w:p w:rsidR="00912650" w:rsidRPr="007B4831" w:rsidRDefault="00912650" w:rsidP="00912650">
            <w:r w:rsidRPr="007B4831">
              <w:t>Er is goede samenwerking met de Jeugdgezondheidszorg.</w:t>
            </w:r>
          </w:p>
        </w:tc>
        <w:tc>
          <w:tcPr>
            <w:tcW w:w="335" w:type="pct"/>
            <w:vAlign w:val="center"/>
          </w:tcPr>
          <w:p w:rsidR="00912650" w:rsidRPr="007B4831" w:rsidRDefault="00912650" w:rsidP="00912650"/>
        </w:tc>
        <w:tc>
          <w:tcPr>
            <w:tcW w:w="526" w:type="pct"/>
            <w:vAlign w:val="center"/>
          </w:tcPr>
          <w:p w:rsidR="00912650" w:rsidRPr="007B4831" w:rsidRDefault="00912650" w:rsidP="00912650"/>
        </w:tc>
        <w:tc>
          <w:tcPr>
            <w:tcW w:w="399" w:type="pct"/>
            <w:vAlign w:val="center"/>
          </w:tcPr>
          <w:p w:rsidR="00912650" w:rsidRPr="007B4831" w:rsidRDefault="00912650" w:rsidP="00912650"/>
        </w:tc>
      </w:tr>
      <w:tr w:rsidR="00912650" w:rsidRPr="00FA7DCF" w:rsidTr="00912650">
        <w:tc>
          <w:tcPr>
            <w:tcW w:w="348" w:type="pct"/>
            <w:vAlign w:val="center"/>
          </w:tcPr>
          <w:p w:rsidR="00912650" w:rsidRPr="007B4831" w:rsidRDefault="00912650" w:rsidP="00912650">
            <w:r w:rsidRPr="007B4831">
              <w:t>2.4</w:t>
            </w:r>
          </w:p>
        </w:tc>
        <w:tc>
          <w:tcPr>
            <w:tcW w:w="3392" w:type="pct"/>
            <w:vAlign w:val="center"/>
          </w:tcPr>
          <w:p w:rsidR="00912650" w:rsidRPr="007B4831" w:rsidRDefault="00912650" w:rsidP="00375A53">
            <w:r w:rsidRPr="007B4831">
              <w:t xml:space="preserve">Er is goede samenwerking met </w:t>
            </w:r>
            <w:r w:rsidR="003E3B3C">
              <w:t>Veilig Thuis</w:t>
            </w:r>
          </w:p>
        </w:tc>
        <w:tc>
          <w:tcPr>
            <w:tcW w:w="335" w:type="pct"/>
            <w:vAlign w:val="center"/>
          </w:tcPr>
          <w:p w:rsidR="00912650" w:rsidRPr="007B4831" w:rsidRDefault="00912650" w:rsidP="00912650"/>
        </w:tc>
        <w:tc>
          <w:tcPr>
            <w:tcW w:w="526" w:type="pct"/>
            <w:vAlign w:val="center"/>
          </w:tcPr>
          <w:p w:rsidR="00912650" w:rsidRPr="007B4831" w:rsidRDefault="00912650" w:rsidP="00912650"/>
        </w:tc>
        <w:tc>
          <w:tcPr>
            <w:tcW w:w="399" w:type="pct"/>
            <w:vAlign w:val="center"/>
          </w:tcPr>
          <w:p w:rsidR="00912650" w:rsidRPr="007B4831" w:rsidRDefault="00912650" w:rsidP="00912650"/>
        </w:tc>
      </w:tr>
      <w:tr w:rsidR="00912650" w:rsidRPr="00FA7DCF" w:rsidTr="00912650"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912650" w:rsidRPr="007B4831" w:rsidRDefault="00912650" w:rsidP="00912650">
            <w:r w:rsidRPr="007B4831">
              <w:t>2.</w:t>
            </w:r>
            <w:r w:rsidR="003E3B3C">
              <w:t>5</w:t>
            </w:r>
          </w:p>
        </w:tc>
        <w:tc>
          <w:tcPr>
            <w:tcW w:w="3392" w:type="pct"/>
            <w:tcBorders>
              <w:bottom w:val="single" w:sz="4" w:space="0" w:color="auto"/>
            </w:tcBorders>
            <w:vAlign w:val="center"/>
          </w:tcPr>
          <w:p w:rsidR="00912650" w:rsidRPr="007B4831" w:rsidRDefault="003E3B3C" w:rsidP="00912650">
            <w:r>
              <w:t xml:space="preserve">Er is een goede samenwerking </w:t>
            </w:r>
            <w:r w:rsidRPr="007B4831">
              <w:t>met andere samenwerkingspartners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912650" w:rsidRPr="007B4831" w:rsidRDefault="00912650" w:rsidP="00912650"/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912650" w:rsidRPr="007B4831" w:rsidRDefault="00912650" w:rsidP="00912650"/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:rsidR="00912650" w:rsidRPr="007B4831" w:rsidRDefault="00912650" w:rsidP="00912650"/>
        </w:tc>
      </w:tr>
      <w:tr w:rsidR="00912650" w:rsidRPr="00FA7DCF" w:rsidTr="00912650">
        <w:tc>
          <w:tcPr>
            <w:tcW w:w="348" w:type="pct"/>
            <w:tcBorders>
              <w:left w:val="nil"/>
              <w:bottom w:val="nil"/>
              <w:right w:val="nil"/>
            </w:tcBorders>
            <w:vAlign w:val="center"/>
          </w:tcPr>
          <w:p w:rsidR="00912650" w:rsidRPr="007B4831" w:rsidRDefault="00912650" w:rsidP="00912650"/>
        </w:tc>
        <w:tc>
          <w:tcPr>
            <w:tcW w:w="3392" w:type="pct"/>
            <w:tcBorders>
              <w:left w:val="nil"/>
              <w:bottom w:val="nil"/>
              <w:right w:val="nil"/>
            </w:tcBorders>
            <w:vAlign w:val="center"/>
          </w:tcPr>
          <w:p w:rsidR="00912650" w:rsidRPr="007B4831" w:rsidRDefault="00912650" w:rsidP="00912650"/>
        </w:tc>
        <w:tc>
          <w:tcPr>
            <w:tcW w:w="335" w:type="pct"/>
            <w:tcBorders>
              <w:left w:val="nil"/>
              <w:bottom w:val="nil"/>
              <w:right w:val="nil"/>
            </w:tcBorders>
            <w:vAlign w:val="center"/>
          </w:tcPr>
          <w:p w:rsidR="00912650" w:rsidRPr="007B4831" w:rsidRDefault="00912650" w:rsidP="00912650"/>
        </w:tc>
        <w:tc>
          <w:tcPr>
            <w:tcW w:w="526" w:type="pct"/>
            <w:tcBorders>
              <w:left w:val="nil"/>
              <w:bottom w:val="nil"/>
              <w:right w:val="nil"/>
            </w:tcBorders>
            <w:vAlign w:val="center"/>
          </w:tcPr>
          <w:p w:rsidR="00912650" w:rsidRPr="007B4831" w:rsidRDefault="00912650" w:rsidP="00912650"/>
        </w:tc>
        <w:tc>
          <w:tcPr>
            <w:tcW w:w="399" w:type="pct"/>
            <w:tcBorders>
              <w:left w:val="nil"/>
              <w:bottom w:val="nil"/>
              <w:right w:val="nil"/>
            </w:tcBorders>
            <w:vAlign w:val="center"/>
          </w:tcPr>
          <w:p w:rsidR="00912650" w:rsidRPr="007B4831" w:rsidRDefault="00912650" w:rsidP="00912650"/>
        </w:tc>
      </w:tr>
    </w:tbl>
    <w:p w:rsidR="00912650" w:rsidRDefault="00912650" w:rsidP="00912650"/>
    <w:p w:rsidR="007F57DE" w:rsidRPr="007B4831" w:rsidRDefault="007F57DE" w:rsidP="009126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6301"/>
        <w:gridCol w:w="622"/>
        <w:gridCol w:w="977"/>
        <w:gridCol w:w="741"/>
      </w:tblGrid>
      <w:tr w:rsidR="00912650" w:rsidRPr="007B4831" w:rsidTr="00912650">
        <w:tc>
          <w:tcPr>
            <w:tcW w:w="348" w:type="pct"/>
            <w:vAlign w:val="center"/>
          </w:tcPr>
          <w:p w:rsidR="00912650" w:rsidRPr="007B4831" w:rsidRDefault="00912650" w:rsidP="00912650">
            <w:pPr>
              <w:rPr>
                <w:rStyle w:val="Standaardvet"/>
              </w:rPr>
            </w:pPr>
            <w:r w:rsidRPr="007B4831">
              <w:rPr>
                <w:rStyle w:val="Standaardvet"/>
              </w:rPr>
              <w:t>3.</w:t>
            </w:r>
          </w:p>
        </w:tc>
        <w:tc>
          <w:tcPr>
            <w:tcW w:w="3392" w:type="pct"/>
            <w:vAlign w:val="center"/>
          </w:tcPr>
          <w:p w:rsidR="00912650" w:rsidRPr="007B4831" w:rsidRDefault="00132BE7" w:rsidP="00132BE7">
            <w:pPr>
              <w:rPr>
                <w:rStyle w:val="Standaardvet"/>
              </w:rPr>
            </w:pPr>
            <w:r>
              <w:rPr>
                <w:rStyle w:val="Standaardvet"/>
              </w:rPr>
              <w:t>Overleg en s</w:t>
            </w:r>
            <w:r w:rsidR="00912650" w:rsidRPr="007B4831">
              <w:rPr>
                <w:rStyle w:val="Standaardvet"/>
              </w:rPr>
              <w:t>teun</w:t>
            </w:r>
          </w:p>
        </w:tc>
        <w:tc>
          <w:tcPr>
            <w:tcW w:w="335" w:type="pct"/>
            <w:vAlign w:val="center"/>
          </w:tcPr>
          <w:p w:rsidR="00912650" w:rsidRPr="007B4831" w:rsidRDefault="00912650" w:rsidP="00912650">
            <w:pPr>
              <w:rPr>
                <w:rStyle w:val="Standaardvet"/>
              </w:rPr>
            </w:pPr>
            <w:r w:rsidRPr="007B4831">
              <w:rPr>
                <w:rStyle w:val="Standaardvet"/>
              </w:rPr>
              <w:t>In orde</w:t>
            </w:r>
          </w:p>
        </w:tc>
        <w:tc>
          <w:tcPr>
            <w:tcW w:w="526" w:type="pct"/>
            <w:vAlign w:val="center"/>
          </w:tcPr>
          <w:p w:rsidR="00912650" w:rsidRPr="007B4831" w:rsidRDefault="00912650" w:rsidP="00912650">
            <w:pPr>
              <w:rPr>
                <w:rStyle w:val="Standaardvet"/>
              </w:rPr>
            </w:pPr>
            <w:r w:rsidRPr="007B4831">
              <w:rPr>
                <w:rStyle w:val="Standaardvet"/>
              </w:rPr>
              <w:t>Actie gewenst</w:t>
            </w:r>
          </w:p>
        </w:tc>
        <w:tc>
          <w:tcPr>
            <w:tcW w:w="399" w:type="pct"/>
            <w:vAlign w:val="center"/>
          </w:tcPr>
          <w:p w:rsidR="00912650" w:rsidRPr="007B4831" w:rsidRDefault="00912650" w:rsidP="00912650">
            <w:pPr>
              <w:rPr>
                <w:rStyle w:val="Standaardvet"/>
              </w:rPr>
            </w:pPr>
            <w:r w:rsidRPr="007B4831">
              <w:rPr>
                <w:rStyle w:val="Standaardvet"/>
              </w:rPr>
              <w:t>N.v.t.</w:t>
            </w:r>
          </w:p>
        </w:tc>
      </w:tr>
      <w:tr w:rsidR="00912650" w:rsidRPr="00FA7DCF" w:rsidTr="00912650">
        <w:tc>
          <w:tcPr>
            <w:tcW w:w="348" w:type="pct"/>
            <w:vAlign w:val="center"/>
          </w:tcPr>
          <w:p w:rsidR="00912650" w:rsidRPr="007B4831" w:rsidRDefault="00912650" w:rsidP="00912650">
            <w:r w:rsidRPr="007B4831">
              <w:t>3.1</w:t>
            </w:r>
          </w:p>
        </w:tc>
        <w:tc>
          <w:tcPr>
            <w:tcW w:w="3392" w:type="pct"/>
            <w:vAlign w:val="center"/>
          </w:tcPr>
          <w:p w:rsidR="00912650" w:rsidRPr="007B4831" w:rsidRDefault="00912650" w:rsidP="00132BE7">
            <w:r w:rsidRPr="007B4831">
              <w:t xml:space="preserve">Er zijn in uw organisatie  </w:t>
            </w:r>
            <w:r w:rsidR="00132BE7">
              <w:t xml:space="preserve">opgeleide </w:t>
            </w:r>
            <w:r w:rsidRPr="007B4831">
              <w:t xml:space="preserve"> aandachtsfunctionarissen  Huiselijk Geweld en Kindermishandeling. </w:t>
            </w:r>
          </w:p>
        </w:tc>
        <w:tc>
          <w:tcPr>
            <w:tcW w:w="335" w:type="pct"/>
            <w:vAlign w:val="center"/>
          </w:tcPr>
          <w:p w:rsidR="00912650" w:rsidRPr="007B4831" w:rsidRDefault="00912650" w:rsidP="00912650"/>
        </w:tc>
        <w:tc>
          <w:tcPr>
            <w:tcW w:w="526" w:type="pct"/>
            <w:vAlign w:val="center"/>
          </w:tcPr>
          <w:p w:rsidR="00912650" w:rsidRPr="007B4831" w:rsidRDefault="00912650" w:rsidP="00912650"/>
        </w:tc>
        <w:tc>
          <w:tcPr>
            <w:tcW w:w="399" w:type="pct"/>
            <w:vAlign w:val="center"/>
          </w:tcPr>
          <w:p w:rsidR="00912650" w:rsidRPr="007B4831" w:rsidRDefault="00912650" w:rsidP="00912650"/>
        </w:tc>
      </w:tr>
      <w:tr w:rsidR="00912650" w:rsidRPr="00FA7DCF" w:rsidTr="00912650">
        <w:tc>
          <w:tcPr>
            <w:tcW w:w="348" w:type="pct"/>
            <w:vAlign w:val="center"/>
          </w:tcPr>
          <w:p w:rsidR="00912650" w:rsidRPr="007B4831" w:rsidRDefault="00912650" w:rsidP="00912650">
            <w:r w:rsidRPr="007B4831">
              <w:t>3.2</w:t>
            </w:r>
          </w:p>
        </w:tc>
        <w:tc>
          <w:tcPr>
            <w:tcW w:w="3392" w:type="pct"/>
            <w:vAlign w:val="center"/>
          </w:tcPr>
          <w:p w:rsidR="00912650" w:rsidRPr="007B4831" w:rsidRDefault="00912650" w:rsidP="007F57DE">
            <w:r w:rsidRPr="007B4831">
              <w:t xml:space="preserve">Collegiale consultatie </w:t>
            </w:r>
            <w:r w:rsidR="009C4D97">
              <w:t xml:space="preserve">met de </w:t>
            </w:r>
            <w:r w:rsidR="009C4D97" w:rsidRPr="007B4831">
              <w:t xml:space="preserve">aandachtsfunctionaris </w:t>
            </w:r>
            <w:r w:rsidRPr="007B4831">
              <w:t xml:space="preserve">is vastgelegd in </w:t>
            </w:r>
            <w:r w:rsidR="00CE7C1D">
              <w:t xml:space="preserve">het </w:t>
            </w:r>
            <w:r w:rsidR="00375A53">
              <w:t>meldcode</w:t>
            </w:r>
            <w:r w:rsidR="007F57DE">
              <w:t xml:space="preserve"> </w:t>
            </w:r>
            <w:r w:rsidR="007F57DE" w:rsidRPr="007B4831">
              <w:t>(</w:t>
            </w:r>
            <w:r w:rsidR="007F57DE">
              <w:t xml:space="preserve">tijdens </w:t>
            </w:r>
            <w:r w:rsidR="007F57DE" w:rsidRPr="007B4831">
              <w:t xml:space="preserve">werkoverleg, casuïstiekbespreking, consult aandachtfunctionaris, intervisie, </w:t>
            </w:r>
            <w:r w:rsidR="007F57DE">
              <w:t>overleg met</w:t>
            </w:r>
            <w:r w:rsidR="007F57DE" w:rsidRPr="007B4831">
              <w:t xml:space="preserve"> leidinggevende).</w:t>
            </w:r>
          </w:p>
        </w:tc>
        <w:tc>
          <w:tcPr>
            <w:tcW w:w="335" w:type="pct"/>
            <w:vAlign w:val="center"/>
          </w:tcPr>
          <w:p w:rsidR="00912650" w:rsidRPr="007B4831" w:rsidRDefault="00912650" w:rsidP="00912650"/>
        </w:tc>
        <w:tc>
          <w:tcPr>
            <w:tcW w:w="526" w:type="pct"/>
            <w:vAlign w:val="center"/>
          </w:tcPr>
          <w:p w:rsidR="00912650" w:rsidRPr="007B4831" w:rsidRDefault="00912650" w:rsidP="00912650"/>
        </w:tc>
        <w:tc>
          <w:tcPr>
            <w:tcW w:w="399" w:type="pct"/>
            <w:vAlign w:val="center"/>
          </w:tcPr>
          <w:p w:rsidR="00912650" w:rsidRPr="007B4831" w:rsidRDefault="00912650" w:rsidP="00912650"/>
        </w:tc>
      </w:tr>
      <w:tr w:rsidR="00912650" w:rsidRPr="00FA7DCF" w:rsidTr="00912650">
        <w:tc>
          <w:tcPr>
            <w:tcW w:w="348" w:type="pct"/>
            <w:vAlign w:val="center"/>
          </w:tcPr>
          <w:p w:rsidR="00912650" w:rsidRPr="007B4831" w:rsidRDefault="00912650" w:rsidP="00912650">
            <w:r w:rsidRPr="007B4831">
              <w:t>3.3</w:t>
            </w:r>
          </w:p>
        </w:tc>
        <w:tc>
          <w:tcPr>
            <w:tcW w:w="3392" w:type="pct"/>
            <w:vAlign w:val="center"/>
          </w:tcPr>
          <w:p w:rsidR="00912650" w:rsidRPr="007B4831" w:rsidRDefault="00912650" w:rsidP="009C4D97">
            <w:r w:rsidRPr="007B4831">
              <w:t xml:space="preserve">De </w:t>
            </w:r>
            <w:r w:rsidR="00132BE7">
              <w:t xml:space="preserve">advies- en </w:t>
            </w:r>
            <w:r w:rsidRPr="007B4831">
              <w:t xml:space="preserve">consultfunctie van </w:t>
            </w:r>
            <w:r w:rsidR="00375A53">
              <w:t xml:space="preserve">Veilig Thuis </w:t>
            </w:r>
            <w:r w:rsidRPr="007B4831">
              <w:t xml:space="preserve">is vermeld in </w:t>
            </w:r>
            <w:r w:rsidR="00CE7C1D">
              <w:t xml:space="preserve">het </w:t>
            </w:r>
            <w:r w:rsidR="00375A53">
              <w:t>meldcode</w:t>
            </w:r>
            <w:r w:rsidRPr="007B4831">
              <w:t>.</w:t>
            </w:r>
          </w:p>
        </w:tc>
        <w:tc>
          <w:tcPr>
            <w:tcW w:w="335" w:type="pct"/>
            <w:vAlign w:val="center"/>
          </w:tcPr>
          <w:p w:rsidR="00912650" w:rsidRPr="007B4831" w:rsidRDefault="00912650" w:rsidP="00912650"/>
        </w:tc>
        <w:tc>
          <w:tcPr>
            <w:tcW w:w="526" w:type="pct"/>
            <w:vAlign w:val="center"/>
          </w:tcPr>
          <w:p w:rsidR="00912650" w:rsidRPr="007B4831" w:rsidRDefault="00912650" w:rsidP="00912650"/>
        </w:tc>
        <w:tc>
          <w:tcPr>
            <w:tcW w:w="399" w:type="pct"/>
            <w:vAlign w:val="center"/>
          </w:tcPr>
          <w:p w:rsidR="00912650" w:rsidRPr="007B4831" w:rsidRDefault="00912650" w:rsidP="00912650"/>
        </w:tc>
      </w:tr>
      <w:tr w:rsidR="00912650" w:rsidRPr="00FA7DCF" w:rsidTr="00912650">
        <w:tc>
          <w:tcPr>
            <w:tcW w:w="348" w:type="pct"/>
            <w:vAlign w:val="center"/>
          </w:tcPr>
          <w:p w:rsidR="00912650" w:rsidRPr="007B4831" w:rsidRDefault="00912650" w:rsidP="00912650">
            <w:r w:rsidRPr="007B4831">
              <w:t>3.4</w:t>
            </w:r>
          </w:p>
        </w:tc>
        <w:tc>
          <w:tcPr>
            <w:tcW w:w="3392" w:type="pct"/>
            <w:vAlign w:val="center"/>
          </w:tcPr>
          <w:p w:rsidR="00912650" w:rsidRPr="007B4831" w:rsidRDefault="00912650" w:rsidP="00912650">
            <w:r w:rsidRPr="007B4831">
              <w:t>Er is extra expertise beschikbaar  (intern of eventueel extern) op gebied van seksueel geweld, meisjesbesnijdenis en eergerelateerd geweld.</w:t>
            </w:r>
          </w:p>
        </w:tc>
        <w:tc>
          <w:tcPr>
            <w:tcW w:w="335" w:type="pct"/>
            <w:vAlign w:val="center"/>
          </w:tcPr>
          <w:p w:rsidR="00912650" w:rsidRPr="007B4831" w:rsidRDefault="00912650" w:rsidP="00912650"/>
        </w:tc>
        <w:tc>
          <w:tcPr>
            <w:tcW w:w="526" w:type="pct"/>
            <w:vAlign w:val="center"/>
          </w:tcPr>
          <w:p w:rsidR="00912650" w:rsidRPr="007B4831" w:rsidRDefault="00912650" w:rsidP="00912650"/>
        </w:tc>
        <w:tc>
          <w:tcPr>
            <w:tcW w:w="399" w:type="pct"/>
            <w:vAlign w:val="center"/>
          </w:tcPr>
          <w:p w:rsidR="00912650" w:rsidRPr="007B4831" w:rsidRDefault="00912650" w:rsidP="00912650"/>
        </w:tc>
      </w:tr>
      <w:tr w:rsidR="00912650" w:rsidRPr="00FA7DCF" w:rsidTr="00912650">
        <w:tc>
          <w:tcPr>
            <w:tcW w:w="348" w:type="pct"/>
            <w:vAlign w:val="center"/>
          </w:tcPr>
          <w:p w:rsidR="00912650" w:rsidRPr="007B4831" w:rsidRDefault="00912650" w:rsidP="00912650">
            <w:r w:rsidRPr="007B4831">
              <w:t>3.5</w:t>
            </w:r>
          </w:p>
        </w:tc>
        <w:tc>
          <w:tcPr>
            <w:tcW w:w="3392" w:type="pct"/>
            <w:vAlign w:val="center"/>
          </w:tcPr>
          <w:p w:rsidR="00912650" w:rsidRPr="007B4831" w:rsidRDefault="009C4D97" w:rsidP="007F57DE">
            <w:r>
              <w:t>Er is aandacht voor</w:t>
            </w:r>
            <w:r w:rsidR="00912650" w:rsidRPr="007B4831">
              <w:t xml:space="preserve"> emotionele steun </w:t>
            </w:r>
            <w:r>
              <w:t>van t</w:t>
            </w:r>
            <w:r w:rsidRPr="007B4831">
              <w:t xml:space="preserve">eamleden </w:t>
            </w:r>
            <w:r>
              <w:t>indien nodig</w:t>
            </w:r>
            <w:r w:rsidR="007F57DE">
              <w:t>.</w:t>
            </w:r>
          </w:p>
        </w:tc>
        <w:tc>
          <w:tcPr>
            <w:tcW w:w="335" w:type="pct"/>
            <w:vAlign w:val="center"/>
          </w:tcPr>
          <w:p w:rsidR="00912650" w:rsidRPr="007B4831" w:rsidRDefault="00912650" w:rsidP="00912650"/>
        </w:tc>
        <w:tc>
          <w:tcPr>
            <w:tcW w:w="526" w:type="pct"/>
            <w:vAlign w:val="center"/>
          </w:tcPr>
          <w:p w:rsidR="00912650" w:rsidRPr="007B4831" w:rsidRDefault="00912650" w:rsidP="00912650"/>
        </w:tc>
        <w:tc>
          <w:tcPr>
            <w:tcW w:w="399" w:type="pct"/>
            <w:vAlign w:val="center"/>
          </w:tcPr>
          <w:p w:rsidR="00912650" w:rsidRPr="007B4831" w:rsidRDefault="00912650" w:rsidP="00912650"/>
        </w:tc>
      </w:tr>
      <w:tr w:rsidR="00912650" w:rsidRPr="00FA7DCF" w:rsidTr="00912650"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912650" w:rsidRPr="007B4831" w:rsidRDefault="00912650" w:rsidP="00912650">
            <w:r w:rsidRPr="007B4831">
              <w:t>3.6</w:t>
            </w:r>
          </w:p>
        </w:tc>
        <w:tc>
          <w:tcPr>
            <w:tcW w:w="3392" w:type="pct"/>
            <w:tcBorders>
              <w:bottom w:val="single" w:sz="4" w:space="0" w:color="auto"/>
            </w:tcBorders>
            <w:vAlign w:val="center"/>
          </w:tcPr>
          <w:p w:rsidR="00912650" w:rsidRPr="007B4831" w:rsidRDefault="009C4D97" w:rsidP="009C4D97">
            <w:r>
              <w:t xml:space="preserve">Er is </w:t>
            </w:r>
            <w:r w:rsidR="00912650" w:rsidRPr="007B4831">
              <w:t xml:space="preserve">praktische steun </w:t>
            </w:r>
            <w:r>
              <w:t xml:space="preserve"> voor teamleden</w:t>
            </w:r>
            <w:r w:rsidR="00912650" w:rsidRPr="007B4831">
              <w:t xml:space="preserve"> in geval er sprake is van kindermishandeling </w:t>
            </w:r>
            <w:r w:rsidR="00132BE7">
              <w:t>en of huiselijk geweld</w:t>
            </w:r>
            <w:r w:rsidR="00912650" w:rsidRPr="007B4831">
              <w:t xml:space="preserve"> (aangifte bij bedreiging, bescherming persoonsgegevens, opvang na incidenten, juridische ondersteuning bij mogelijke rechtzaken).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912650" w:rsidRPr="007B4831" w:rsidRDefault="00912650" w:rsidP="00912650"/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912650" w:rsidRPr="007B4831" w:rsidRDefault="00912650" w:rsidP="00912650"/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:rsidR="00912650" w:rsidRPr="007B4831" w:rsidRDefault="00912650" w:rsidP="00912650"/>
        </w:tc>
      </w:tr>
      <w:tr w:rsidR="00912650" w:rsidRPr="00FA7DCF" w:rsidTr="00912650">
        <w:tc>
          <w:tcPr>
            <w:tcW w:w="348" w:type="pct"/>
            <w:tcBorders>
              <w:left w:val="nil"/>
              <w:right w:val="nil"/>
            </w:tcBorders>
            <w:vAlign w:val="center"/>
          </w:tcPr>
          <w:p w:rsidR="00912650" w:rsidRPr="007B4831" w:rsidRDefault="00912650" w:rsidP="00912650"/>
        </w:tc>
        <w:tc>
          <w:tcPr>
            <w:tcW w:w="3392" w:type="pct"/>
            <w:tcBorders>
              <w:left w:val="nil"/>
              <w:right w:val="nil"/>
            </w:tcBorders>
            <w:vAlign w:val="center"/>
          </w:tcPr>
          <w:p w:rsidR="00912650" w:rsidRPr="007B4831" w:rsidRDefault="00912650" w:rsidP="00912650"/>
          <w:p w:rsidR="00375A53" w:rsidRPr="007B4831" w:rsidRDefault="00375A53" w:rsidP="00912650"/>
        </w:tc>
        <w:tc>
          <w:tcPr>
            <w:tcW w:w="335" w:type="pct"/>
            <w:tcBorders>
              <w:left w:val="nil"/>
              <w:right w:val="nil"/>
            </w:tcBorders>
            <w:vAlign w:val="center"/>
          </w:tcPr>
          <w:p w:rsidR="00912650" w:rsidRPr="007B4831" w:rsidRDefault="00912650" w:rsidP="00912650"/>
        </w:tc>
        <w:tc>
          <w:tcPr>
            <w:tcW w:w="526" w:type="pct"/>
            <w:tcBorders>
              <w:left w:val="nil"/>
              <w:right w:val="nil"/>
            </w:tcBorders>
            <w:vAlign w:val="center"/>
          </w:tcPr>
          <w:p w:rsidR="00912650" w:rsidRPr="007B4831" w:rsidRDefault="00912650" w:rsidP="00912650"/>
        </w:tc>
        <w:tc>
          <w:tcPr>
            <w:tcW w:w="399" w:type="pct"/>
            <w:tcBorders>
              <w:left w:val="nil"/>
              <w:right w:val="nil"/>
            </w:tcBorders>
            <w:vAlign w:val="center"/>
          </w:tcPr>
          <w:p w:rsidR="00912650" w:rsidRPr="007B4831" w:rsidRDefault="00912650" w:rsidP="00912650"/>
        </w:tc>
      </w:tr>
      <w:tr w:rsidR="00912650" w:rsidRPr="007B4831" w:rsidTr="00912650">
        <w:tc>
          <w:tcPr>
            <w:tcW w:w="348" w:type="pct"/>
            <w:vAlign w:val="center"/>
          </w:tcPr>
          <w:p w:rsidR="00912650" w:rsidRPr="007B4831" w:rsidRDefault="00912650" w:rsidP="00912650">
            <w:pPr>
              <w:rPr>
                <w:rStyle w:val="Standaardvet"/>
              </w:rPr>
            </w:pPr>
            <w:r w:rsidRPr="007B4831">
              <w:rPr>
                <w:rStyle w:val="Standaardvet"/>
              </w:rPr>
              <w:t>4.</w:t>
            </w:r>
          </w:p>
        </w:tc>
        <w:tc>
          <w:tcPr>
            <w:tcW w:w="3392" w:type="pct"/>
            <w:vAlign w:val="center"/>
          </w:tcPr>
          <w:p w:rsidR="00912650" w:rsidRPr="007B4831" w:rsidRDefault="00912650" w:rsidP="00912650">
            <w:pPr>
              <w:rPr>
                <w:rStyle w:val="Standaardvet"/>
              </w:rPr>
            </w:pPr>
            <w:r w:rsidRPr="007B4831">
              <w:rPr>
                <w:rStyle w:val="Standaardvet"/>
              </w:rPr>
              <w:t>Methodiek</w:t>
            </w:r>
          </w:p>
        </w:tc>
        <w:tc>
          <w:tcPr>
            <w:tcW w:w="335" w:type="pct"/>
            <w:vAlign w:val="center"/>
          </w:tcPr>
          <w:p w:rsidR="00912650" w:rsidRPr="007B4831" w:rsidRDefault="00912650" w:rsidP="00912650">
            <w:pPr>
              <w:rPr>
                <w:rStyle w:val="Standaardvet"/>
              </w:rPr>
            </w:pPr>
            <w:r w:rsidRPr="007B4831">
              <w:rPr>
                <w:rStyle w:val="Standaardvet"/>
              </w:rPr>
              <w:t>In orde</w:t>
            </w:r>
          </w:p>
        </w:tc>
        <w:tc>
          <w:tcPr>
            <w:tcW w:w="526" w:type="pct"/>
            <w:vAlign w:val="center"/>
          </w:tcPr>
          <w:p w:rsidR="00912650" w:rsidRPr="007B4831" w:rsidRDefault="00912650" w:rsidP="00912650">
            <w:pPr>
              <w:rPr>
                <w:rStyle w:val="Standaardvet"/>
              </w:rPr>
            </w:pPr>
            <w:r w:rsidRPr="007B4831">
              <w:rPr>
                <w:rStyle w:val="Standaardvet"/>
              </w:rPr>
              <w:t>Actie gewenst</w:t>
            </w:r>
          </w:p>
        </w:tc>
        <w:tc>
          <w:tcPr>
            <w:tcW w:w="399" w:type="pct"/>
            <w:vAlign w:val="center"/>
          </w:tcPr>
          <w:p w:rsidR="00912650" w:rsidRPr="007B4831" w:rsidRDefault="00912650" w:rsidP="00912650">
            <w:pPr>
              <w:rPr>
                <w:rStyle w:val="Standaardvet"/>
              </w:rPr>
            </w:pPr>
            <w:r w:rsidRPr="007B4831">
              <w:rPr>
                <w:rStyle w:val="Standaardvet"/>
              </w:rPr>
              <w:t>N.v.t.</w:t>
            </w:r>
          </w:p>
        </w:tc>
      </w:tr>
      <w:tr w:rsidR="00912650" w:rsidRPr="00FA7DCF" w:rsidTr="00912650">
        <w:tc>
          <w:tcPr>
            <w:tcW w:w="348" w:type="pct"/>
            <w:vAlign w:val="center"/>
          </w:tcPr>
          <w:p w:rsidR="00912650" w:rsidRPr="007B4831" w:rsidRDefault="00912650" w:rsidP="00912650">
            <w:r w:rsidRPr="007B4831">
              <w:t>4.1</w:t>
            </w:r>
          </w:p>
        </w:tc>
        <w:tc>
          <w:tcPr>
            <w:tcW w:w="3392" w:type="pct"/>
            <w:vAlign w:val="center"/>
          </w:tcPr>
          <w:p w:rsidR="00912650" w:rsidRPr="007B4831" w:rsidRDefault="00912650" w:rsidP="00CE7C1D">
            <w:r w:rsidRPr="007B4831">
              <w:t xml:space="preserve">Er wordt gebruik gemaakt van een risicotaxatie- instrument bij de weging  tot vervolgstappen. Wanneer de organisatie zelf geen risicotaxatie </w:t>
            </w:r>
            <w:r w:rsidRPr="007B4831">
              <w:lastRenderedPageBreak/>
              <w:t>uitvoert, wordt vastgelegd waar de ri</w:t>
            </w:r>
            <w:bookmarkStart w:id="1" w:name="_GoBack"/>
            <w:bookmarkEnd w:id="1"/>
            <w:r w:rsidRPr="007B4831">
              <w:t>sicotaxatie extern wordt uitgevoerd. (</w:t>
            </w:r>
            <w:r w:rsidR="00CE7C1D">
              <w:t xml:space="preserve">meldcode </w:t>
            </w:r>
            <w:r w:rsidRPr="007B4831">
              <w:t>stap 4)</w:t>
            </w:r>
          </w:p>
        </w:tc>
        <w:tc>
          <w:tcPr>
            <w:tcW w:w="335" w:type="pct"/>
            <w:vAlign w:val="center"/>
          </w:tcPr>
          <w:p w:rsidR="00912650" w:rsidRPr="007B4831" w:rsidRDefault="00912650" w:rsidP="00912650"/>
        </w:tc>
        <w:tc>
          <w:tcPr>
            <w:tcW w:w="526" w:type="pct"/>
            <w:vAlign w:val="center"/>
          </w:tcPr>
          <w:p w:rsidR="00912650" w:rsidRPr="007B4831" w:rsidRDefault="00912650" w:rsidP="00912650"/>
        </w:tc>
        <w:tc>
          <w:tcPr>
            <w:tcW w:w="399" w:type="pct"/>
            <w:vAlign w:val="center"/>
          </w:tcPr>
          <w:p w:rsidR="00912650" w:rsidRPr="007B4831" w:rsidRDefault="00912650" w:rsidP="00912650"/>
        </w:tc>
      </w:tr>
      <w:tr w:rsidR="00912650" w:rsidRPr="00FA7DCF" w:rsidTr="00912650"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912650" w:rsidRPr="007B4831" w:rsidRDefault="00912650" w:rsidP="00912650">
            <w:r w:rsidRPr="007B4831">
              <w:lastRenderedPageBreak/>
              <w:t>4.2</w:t>
            </w:r>
          </w:p>
        </w:tc>
        <w:tc>
          <w:tcPr>
            <w:tcW w:w="3392" w:type="pct"/>
            <w:tcBorders>
              <w:bottom w:val="single" w:sz="4" w:space="0" w:color="auto"/>
            </w:tcBorders>
            <w:vAlign w:val="center"/>
          </w:tcPr>
          <w:p w:rsidR="00912650" w:rsidRPr="007B4831" w:rsidRDefault="00912650" w:rsidP="00375A53">
            <w:r w:rsidRPr="007B4831">
              <w:t xml:space="preserve">Beslissingen omtrent  het wel/niet melden worden door de beroepskracht (met zonodig ook advies van  </w:t>
            </w:r>
            <w:r w:rsidR="00375A53">
              <w:t>Veilig Thuis</w:t>
            </w:r>
            <w:r w:rsidRPr="007B4831">
              <w:t xml:space="preserve">) en </w:t>
            </w:r>
            <w:r w:rsidR="00CE7C1D">
              <w:t>de aandachtsfunctionaris</w:t>
            </w:r>
            <w:r w:rsidRPr="007B4831">
              <w:t xml:space="preserve"> genomen.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912650" w:rsidRPr="007B4831" w:rsidRDefault="00912650" w:rsidP="00912650"/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912650" w:rsidRPr="007B4831" w:rsidRDefault="00912650" w:rsidP="00912650"/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:rsidR="00912650" w:rsidRPr="007B4831" w:rsidRDefault="00912650" w:rsidP="00912650"/>
        </w:tc>
      </w:tr>
    </w:tbl>
    <w:p w:rsidR="00912650" w:rsidRPr="007B4831" w:rsidRDefault="00912650" w:rsidP="00912650"/>
    <w:p w:rsidR="00912650" w:rsidRPr="007B4831" w:rsidRDefault="00912650" w:rsidP="00912650"/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6302"/>
        <w:gridCol w:w="626"/>
        <w:gridCol w:w="976"/>
        <w:gridCol w:w="738"/>
      </w:tblGrid>
      <w:tr w:rsidR="00912650" w:rsidRPr="007B4831" w:rsidTr="00C73D7E">
        <w:tc>
          <w:tcPr>
            <w:tcW w:w="317" w:type="pct"/>
            <w:vAlign w:val="center"/>
          </w:tcPr>
          <w:p w:rsidR="00912650" w:rsidRPr="007B4831" w:rsidRDefault="00912650" w:rsidP="00912650">
            <w:pPr>
              <w:rPr>
                <w:rStyle w:val="Standaardvet"/>
              </w:rPr>
            </w:pPr>
            <w:r w:rsidRPr="007B4831">
              <w:rPr>
                <w:rStyle w:val="Standaardvet"/>
              </w:rPr>
              <w:t>5.</w:t>
            </w:r>
          </w:p>
        </w:tc>
        <w:tc>
          <w:tcPr>
            <w:tcW w:w="3414" w:type="pct"/>
            <w:vAlign w:val="center"/>
          </w:tcPr>
          <w:p w:rsidR="00912650" w:rsidRPr="007B4831" w:rsidRDefault="00912650" w:rsidP="00912650">
            <w:pPr>
              <w:rPr>
                <w:rStyle w:val="Standaardvet"/>
              </w:rPr>
            </w:pPr>
            <w:r w:rsidRPr="007B4831">
              <w:rPr>
                <w:rStyle w:val="Standaardvet"/>
              </w:rPr>
              <w:t>Privacy en dossiervorming</w:t>
            </w:r>
          </w:p>
        </w:tc>
        <w:tc>
          <w:tcPr>
            <w:tcW w:w="339" w:type="pct"/>
            <w:vAlign w:val="center"/>
          </w:tcPr>
          <w:p w:rsidR="00912650" w:rsidRPr="007B4831" w:rsidRDefault="00912650" w:rsidP="00912650">
            <w:pPr>
              <w:rPr>
                <w:rStyle w:val="Standaardvet"/>
              </w:rPr>
            </w:pPr>
            <w:r w:rsidRPr="007B4831">
              <w:rPr>
                <w:rStyle w:val="Standaardvet"/>
              </w:rPr>
              <w:t>In orde</w:t>
            </w:r>
          </w:p>
        </w:tc>
        <w:tc>
          <w:tcPr>
            <w:tcW w:w="529" w:type="pct"/>
            <w:vAlign w:val="center"/>
          </w:tcPr>
          <w:p w:rsidR="00912650" w:rsidRPr="007B4831" w:rsidRDefault="00912650" w:rsidP="00912650">
            <w:pPr>
              <w:rPr>
                <w:rStyle w:val="Standaardvet"/>
              </w:rPr>
            </w:pPr>
            <w:r w:rsidRPr="007B4831">
              <w:rPr>
                <w:rStyle w:val="Standaardvet"/>
              </w:rPr>
              <w:t>Actie gewenst</w:t>
            </w:r>
          </w:p>
        </w:tc>
        <w:tc>
          <w:tcPr>
            <w:tcW w:w="400" w:type="pct"/>
            <w:vAlign w:val="center"/>
          </w:tcPr>
          <w:p w:rsidR="00912650" w:rsidRPr="007B4831" w:rsidRDefault="00912650" w:rsidP="00912650">
            <w:pPr>
              <w:rPr>
                <w:rStyle w:val="Standaardvet"/>
              </w:rPr>
            </w:pPr>
            <w:r w:rsidRPr="007B4831">
              <w:rPr>
                <w:rStyle w:val="Standaardvet"/>
              </w:rPr>
              <w:t>N.v.t.</w:t>
            </w:r>
          </w:p>
        </w:tc>
      </w:tr>
      <w:tr w:rsidR="00912650" w:rsidRPr="00FA7DCF" w:rsidTr="00C73D7E">
        <w:tc>
          <w:tcPr>
            <w:tcW w:w="317" w:type="pct"/>
            <w:vAlign w:val="center"/>
          </w:tcPr>
          <w:p w:rsidR="00912650" w:rsidRPr="007B4831" w:rsidRDefault="00912650" w:rsidP="00912650">
            <w:r w:rsidRPr="007B4831">
              <w:t>5.1</w:t>
            </w:r>
          </w:p>
        </w:tc>
        <w:tc>
          <w:tcPr>
            <w:tcW w:w="3414" w:type="pct"/>
            <w:vAlign w:val="center"/>
          </w:tcPr>
          <w:p w:rsidR="00912650" w:rsidRPr="007B4831" w:rsidRDefault="00132BE7" w:rsidP="00F006D0">
            <w:r>
              <w:t xml:space="preserve">In het dossier </w:t>
            </w:r>
            <w:r w:rsidRPr="007B4831">
              <w:t>van de cliënt/ jeugdige worden vermeld</w:t>
            </w:r>
            <w:r>
              <w:t>:</w:t>
            </w:r>
            <w:r w:rsidR="00F006D0">
              <w:t xml:space="preserve"> </w:t>
            </w:r>
            <w:r>
              <w:t>s</w:t>
            </w:r>
            <w:r w:rsidR="00912650" w:rsidRPr="007B4831">
              <w:t>ignalen die een vermoeden van kindermishandeling</w:t>
            </w:r>
            <w:r>
              <w:t xml:space="preserve"> of huiselijk geweld</w:t>
            </w:r>
            <w:r w:rsidR="00912650" w:rsidRPr="007B4831">
              <w:t xml:space="preserve"> bevestigen of ontkrachten, </w:t>
            </w:r>
            <w:r>
              <w:t>overleg</w:t>
            </w:r>
            <w:r w:rsidR="00912650" w:rsidRPr="007B4831">
              <w:t xml:space="preserve"> over  deze signalen, stappen die worden gezet, besluiten die worden genomen en vervolgaantekeningen over het verloop</w:t>
            </w:r>
            <w:r>
              <w:t xml:space="preserve"> en de afspraken.</w:t>
            </w:r>
            <w:r w:rsidR="00912650" w:rsidRPr="007B4831">
              <w:t xml:space="preserve"> </w:t>
            </w:r>
          </w:p>
        </w:tc>
        <w:tc>
          <w:tcPr>
            <w:tcW w:w="339" w:type="pct"/>
            <w:vAlign w:val="center"/>
          </w:tcPr>
          <w:p w:rsidR="00912650" w:rsidRPr="007B4831" w:rsidRDefault="00912650" w:rsidP="00912650"/>
        </w:tc>
        <w:tc>
          <w:tcPr>
            <w:tcW w:w="529" w:type="pct"/>
            <w:vAlign w:val="center"/>
          </w:tcPr>
          <w:p w:rsidR="00912650" w:rsidRPr="007B4831" w:rsidRDefault="00912650" w:rsidP="00912650"/>
        </w:tc>
        <w:tc>
          <w:tcPr>
            <w:tcW w:w="400" w:type="pct"/>
            <w:vAlign w:val="center"/>
          </w:tcPr>
          <w:p w:rsidR="00912650" w:rsidRPr="007B4831" w:rsidRDefault="00912650" w:rsidP="00912650"/>
        </w:tc>
      </w:tr>
      <w:tr w:rsidR="00912650" w:rsidRPr="00FA7DCF" w:rsidTr="00C73D7E"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912650" w:rsidRPr="007B4831" w:rsidRDefault="00912650" w:rsidP="00912650">
            <w:r w:rsidRPr="007B4831">
              <w:t>5.2</w:t>
            </w:r>
          </w:p>
        </w:tc>
        <w:tc>
          <w:tcPr>
            <w:tcW w:w="3414" w:type="pct"/>
            <w:tcBorders>
              <w:bottom w:val="single" w:sz="4" w:space="0" w:color="auto"/>
            </w:tcBorders>
            <w:vAlign w:val="center"/>
          </w:tcPr>
          <w:p w:rsidR="00912650" w:rsidRPr="007B4831" w:rsidRDefault="000F74AC" w:rsidP="000F74AC">
            <w:r>
              <w:t>In de verslaglegging worden feitelijke beschrijvingen opgenomen. D</w:t>
            </w:r>
            <w:r w:rsidR="00912650" w:rsidRPr="007B4831">
              <w:t>e bron wordt vermeld als de informatie afkomstig is van een ander.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912650" w:rsidRPr="007B4831" w:rsidRDefault="00912650" w:rsidP="00912650"/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912650" w:rsidRPr="007B4831" w:rsidRDefault="00912650" w:rsidP="00912650"/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912650" w:rsidRPr="007B4831" w:rsidRDefault="00912650" w:rsidP="00912650"/>
        </w:tc>
      </w:tr>
      <w:tr w:rsidR="00912650" w:rsidRPr="00FA7DCF" w:rsidTr="00A0775F">
        <w:tc>
          <w:tcPr>
            <w:tcW w:w="317" w:type="pct"/>
            <w:tcBorders>
              <w:bottom w:val="nil"/>
            </w:tcBorders>
            <w:vAlign w:val="center"/>
          </w:tcPr>
          <w:p w:rsidR="00912650" w:rsidRPr="007B4831" w:rsidRDefault="00912650" w:rsidP="00912650">
            <w:r w:rsidRPr="007B4831">
              <w:t>5.3</w:t>
            </w:r>
          </w:p>
        </w:tc>
        <w:tc>
          <w:tcPr>
            <w:tcW w:w="3414" w:type="pct"/>
            <w:tcBorders>
              <w:bottom w:val="nil"/>
            </w:tcBorders>
            <w:vAlign w:val="center"/>
          </w:tcPr>
          <w:p w:rsidR="00912650" w:rsidRPr="007B4831" w:rsidRDefault="00912650" w:rsidP="00132BE7">
            <w:r w:rsidRPr="007B4831">
              <w:t xml:space="preserve">Privacyregelgeving,  </w:t>
            </w:r>
            <w:r w:rsidR="00132BE7">
              <w:t xml:space="preserve">beroepsgeheim, </w:t>
            </w:r>
            <w:r w:rsidRPr="007B4831">
              <w:t xml:space="preserve"> zwijgplicht,  meldrecht zijn begrippen die bekend zijn bij de medewerkers. Zo ook wat te doen bij conflict van plichten.</w:t>
            </w: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912650" w:rsidRPr="007B4831" w:rsidRDefault="00912650" w:rsidP="00912650"/>
        </w:tc>
        <w:tc>
          <w:tcPr>
            <w:tcW w:w="529" w:type="pct"/>
            <w:tcBorders>
              <w:bottom w:val="nil"/>
            </w:tcBorders>
            <w:vAlign w:val="center"/>
          </w:tcPr>
          <w:p w:rsidR="00912650" w:rsidRPr="007B4831" w:rsidRDefault="00912650" w:rsidP="00912650"/>
        </w:tc>
        <w:tc>
          <w:tcPr>
            <w:tcW w:w="400" w:type="pct"/>
            <w:tcBorders>
              <w:bottom w:val="nil"/>
            </w:tcBorders>
            <w:vAlign w:val="center"/>
          </w:tcPr>
          <w:p w:rsidR="00912650" w:rsidRPr="007B4831" w:rsidRDefault="00912650" w:rsidP="00912650"/>
        </w:tc>
      </w:tr>
      <w:tr w:rsidR="007F57DE" w:rsidRPr="007B4831" w:rsidTr="00A0775F">
        <w:tc>
          <w:tcPr>
            <w:tcW w:w="317" w:type="pct"/>
            <w:tcBorders>
              <w:top w:val="nil"/>
              <w:left w:val="nil"/>
              <w:bottom w:val="nil"/>
            </w:tcBorders>
            <w:vAlign w:val="center"/>
          </w:tcPr>
          <w:p w:rsidR="007F57DE" w:rsidRPr="007B4831" w:rsidRDefault="007F57DE" w:rsidP="00912650"/>
        </w:tc>
        <w:tc>
          <w:tcPr>
            <w:tcW w:w="3414" w:type="pct"/>
            <w:tcBorders>
              <w:top w:val="nil"/>
              <w:bottom w:val="nil"/>
            </w:tcBorders>
            <w:vAlign w:val="center"/>
          </w:tcPr>
          <w:p w:rsidR="007F57DE" w:rsidRPr="007B4831" w:rsidRDefault="007F57DE" w:rsidP="00912650">
            <w:pPr>
              <w:rPr>
                <w:rStyle w:val="Standaardvet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F57DE" w:rsidRPr="007B4831" w:rsidRDefault="007F57DE" w:rsidP="00912650">
            <w:pPr>
              <w:rPr>
                <w:rStyle w:val="Standaardvet"/>
              </w:rPr>
            </w:pPr>
          </w:p>
        </w:tc>
        <w:tc>
          <w:tcPr>
            <w:tcW w:w="529" w:type="pct"/>
            <w:tcBorders>
              <w:top w:val="nil"/>
              <w:bottom w:val="nil"/>
            </w:tcBorders>
            <w:vAlign w:val="center"/>
          </w:tcPr>
          <w:p w:rsidR="007F57DE" w:rsidRPr="007B4831" w:rsidRDefault="007F57DE" w:rsidP="00912650">
            <w:pPr>
              <w:rPr>
                <w:rStyle w:val="Standaardvet"/>
              </w:rPr>
            </w:pPr>
          </w:p>
        </w:tc>
        <w:tc>
          <w:tcPr>
            <w:tcW w:w="400" w:type="pct"/>
            <w:tcBorders>
              <w:top w:val="nil"/>
              <w:bottom w:val="nil"/>
              <w:right w:val="nil"/>
            </w:tcBorders>
            <w:vAlign w:val="center"/>
          </w:tcPr>
          <w:p w:rsidR="007F57DE" w:rsidRPr="007B4831" w:rsidRDefault="007F57DE" w:rsidP="00912650">
            <w:pPr>
              <w:rPr>
                <w:rStyle w:val="Standaardvet"/>
              </w:rPr>
            </w:pPr>
          </w:p>
        </w:tc>
      </w:tr>
      <w:tr w:rsidR="00912650" w:rsidRPr="007B4831" w:rsidTr="00A0775F">
        <w:tc>
          <w:tcPr>
            <w:tcW w:w="317" w:type="pct"/>
            <w:tcBorders>
              <w:top w:val="nil"/>
            </w:tcBorders>
            <w:vAlign w:val="center"/>
          </w:tcPr>
          <w:p w:rsidR="00912650" w:rsidRPr="007B4831" w:rsidRDefault="00912650" w:rsidP="00912650">
            <w:pPr>
              <w:rPr>
                <w:rStyle w:val="Standaardvet"/>
              </w:rPr>
            </w:pPr>
            <w:r w:rsidRPr="007B4831">
              <w:br w:type="page"/>
            </w:r>
            <w:r w:rsidRPr="007B4831">
              <w:rPr>
                <w:rStyle w:val="Standaardvet"/>
              </w:rPr>
              <w:t>6.</w:t>
            </w:r>
          </w:p>
        </w:tc>
        <w:tc>
          <w:tcPr>
            <w:tcW w:w="3414" w:type="pct"/>
            <w:tcBorders>
              <w:top w:val="nil"/>
            </w:tcBorders>
            <w:vAlign w:val="center"/>
          </w:tcPr>
          <w:p w:rsidR="00912650" w:rsidRPr="007B4831" w:rsidRDefault="00912650" w:rsidP="00912650">
            <w:pPr>
              <w:rPr>
                <w:rStyle w:val="Standaardvet"/>
              </w:rPr>
            </w:pPr>
            <w:r w:rsidRPr="007B4831">
              <w:rPr>
                <w:rStyle w:val="Standaardvet"/>
              </w:rPr>
              <w:t>Communicatie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912650" w:rsidRPr="007B4831" w:rsidRDefault="00912650" w:rsidP="00912650">
            <w:pPr>
              <w:rPr>
                <w:rStyle w:val="Standaardvet"/>
              </w:rPr>
            </w:pPr>
            <w:r w:rsidRPr="007B4831">
              <w:rPr>
                <w:rStyle w:val="Standaardvet"/>
              </w:rPr>
              <w:t>In orde</w:t>
            </w:r>
          </w:p>
        </w:tc>
        <w:tc>
          <w:tcPr>
            <w:tcW w:w="529" w:type="pct"/>
            <w:tcBorders>
              <w:top w:val="nil"/>
            </w:tcBorders>
            <w:vAlign w:val="center"/>
          </w:tcPr>
          <w:p w:rsidR="00912650" w:rsidRPr="007B4831" w:rsidRDefault="00912650" w:rsidP="00912650">
            <w:pPr>
              <w:rPr>
                <w:rStyle w:val="Standaardvet"/>
              </w:rPr>
            </w:pPr>
            <w:r w:rsidRPr="007B4831">
              <w:rPr>
                <w:rStyle w:val="Standaardvet"/>
              </w:rPr>
              <w:t>Actie gewenst</w:t>
            </w:r>
          </w:p>
        </w:tc>
        <w:tc>
          <w:tcPr>
            <w:tcW w:w="400" w:type="pct"/>
            <w:tcBorders>
              <w:top w:val="nil"/>
            </w:tcBorders>
            <w:vAlign w:val="center"/>
          </w:tcPr>
          <w:p w:rsidR="00912650" w:rsidRPr="007B4831" w:rsidRDefault="00912650" w:rsidP="00912650">
            <w:pPr>
              <w:rPr>
                <w:rStyle w:val="Standaardvet"/>
              </w:rPr>
            </w:pPr>
            <w:r w:rsidRPr="007B4831">
              <w:rPr>
                <w:rStyle w:val="Standaardvet"/>
              </w:rPr>
              <w:t>N.v.t.</w:t>
            </w:r>
          </w:p>
        </w:tc>
      </w:tr>
      <w:tr w:rsidR="00912650" w:rsidRPr="00FA7DCF" w:rsidTr="00C73D7E">
        <w:tc>
          <w:tcPr>
            <w:tcW w:w="317" w:type="pct"/>
            <w:vAlign w:val="center"/>
          </w:tcPr>
          <w:p w:rsidR="00912650" w:rsidRPr="007B4831" w:rsidRDefault="007F57DE" w:rsidP="00912650">
            <w:r>
              <w:t>6.1</w:t>
            </w:r>
          </w:p>
        </w:tc>
        <w:tc>
          <w:tcPr>
            <w:tcW w:w="3414" w:type="pct"/>
            <w:vAlign w:val="center"/>
          </w:tcPr>
          <w:p w:rsidR="00912650" w:rsidRPr="007B4831" w:rsidRDefault="007F57DE" w:rsidP="007F57DE">
            <w:r>
              <w:t>Clienten, o</w:t>
            </w:r>
            <w:r w:rsidR="00912650" w:rsidRPr="007B4831">
              <w:t xml:space="preserve">uders  en jongeren van 12 jaar en ouder worden tijdig betrokken bij zorgen en ook tijdig  geïnformeerd over de eventuele melding bij </w:t>
            </w:r>
            <w:r w:rsidR="00375A53">
              <w:t>Veilig Thuis.</w:t>
            </w:r>
          </w:p>
        </w:tc>
        <w:tc>
          <w:tcPr>
            <w:tcW w:w="339" w:type="pct"/>
            <w:vAlign w:val="center"/>
          </w:tcPr>
          <w:p w:rsidR="00912650" w:rsidRPr="007B4831" w:rsidRDefault="00912650" w:rsidP="00912650"/>
        </w:tc>
        <w:tc>
          <w:tcPr>
            <w:tcW w:w="529" w:type="pct"/>
            <w:vAlign w:val="center"/>
          </w:tcPr>
          <w:p w:rsidR="00912650" w:rsidRPr="007B4831" w:rsidRDefault="00912650" w:rsidP="00912650"/>
        </w:tc>
        <w:tc>
          <w:tcPr>
            <w:tcW w:w="400" w:type="pct"/>
            <w:vAlign w:val="center"/>
          </w:tcPr>
          <w:p w:rsidR="00912650" w:rsidRPr="007B4831" w:rsidRDefault="00912650" w:rsidP="00912650"/>
        </w:tc>
      </w:tr>
      <w:tr w:rsidR="00912650" w:rsidRPr="00FA7DCF" w:rsidTr="00C73D7E">
        <w:tc>
          <w:tcPr>
            <w:tcW w:w="317" w:type="pct"/>
            <w:vAlign w:val="center"/>
          </w:tcPr>
          <w:p w:rsidR="00912650" w:rsidRPr="007B4831" w:rsidRDefault="007F57DE" w:rsidP="00912650">
            <w:r>
              <w:t>6.2</w:t>
            </w:r>
          </w:p>
        </w:tc>
        <w:tc>
          <w:tcPr>
            <w:tcW w:w="3414" w:type="pct"/>
            <w:vAlign w:val="center"/>
          </w:tcPr>
          <w:p w:rsidR="00912650" w:rsidRPr="007B4831" w:rsidRDefault="00912650" w:rsidP="002C6846">
            <w:r w:rsidRPr="007B4831">
              <w:t xml:space="preserve">Medewerkers zijn voldoende geïnformeerd over </w:t>
            </w:r>
            <w:r w:rsidR="002C6846">
              <w:t>de werkwijze van Veilig Thuis</w:t>
            </w:r>
            <w:r w:rsidRPr="007B4831">
              <w:t>.</w:t>
            </w:r>
          </w:p>
        </w:tc>
        <w:tc>
          <w:tcPr>
            <w:tcW w:w="339" w:type="pct"/>
            <w:vAlign w:val="center"/>
          </w:tcPr>
          <w:p w:rsidR="00912650" w:rsidRPr="007B4831" w:rsidRDefault="00912650" w:rsidP="00912650"/>
        </w:tc>
        <w:tc>
          <w:tcPr>
            <w:tcW w:w="529" w:type="pct"/>
            <w:vAlign w:val="center"/>
          </w:tcPr>
          <w:p w:rsidR="00912650" w:rsidRPr="007B4831" w:rsidRDefault="00912650" w:rsidP="00912650"/>
        </w:tc>
        <w:tc>
          <w:tcPr>
            <w:tcW w:w="400" w:type="pct"/>
            <w:vAlign w:val="center"/>
          </w:tcPr>
          <w:p w:rsidR="00912650" w:rsidRPr="007B4831" w:rsidRDefault="00912650" w:rsidP="00912650"/>
        </w:tc>
      </w:tr>
      <w:tr w:rsidR="00912650" w:rsidRPr="00FA7DCF" w:rsidTr="00C73D7E">
        <w:tc>
          <w:tcPr>
            <w:tcW w:w="317" w:type="pct"/>
            <w:vAlign w:val="center"/>
          </w:tcPr>
          <w:p w:rsidR="00912650" w:rsidRPr="007B4831" w:rsidRDefault="007F57DE" w:rsidP="00912650">
            <w:r>
              <w:t>6.3</w:t>
            </w:r>
          </w:p>
        </w:tc>
        <w:tc>
          <w:tcPr>
            <w:tcW w:w="3414" w:type="pct"/>
            <w:vAlign w:val="center"/>
          </w:tcPr>
          <w:p w:rsidR="00912650" w:rsidRPr="007B4831" w:rsidRDefault="00912650" w:rsidP="007F57DE">
            <w:r w:rsidRPr="007B4831">
              <w:t>Cliënten zijn op de hoogte dat</w:t>
            </w:r>
            <w:r w:rsidR="007F57DE">
              <w:t xml:space="preserve"> en hoe</w:t>
            </w:r>
            <w:r w:rsidRPr="007B4831">
              <w:t xml:space="preserve"> zij bezwaar kunnen  maken bij een melding</w:t>
            </w:r>
            <w:r w:rsidR="007F57DE">
              <w:t>.</w:t>
            </w:r>
          </w:p>
        </w:tc>
        <w:tc>
          <w:tcPr>
            <w:tcW w:w="339" w:type="pct"/>
            <w:vAlign w:val="center"/>
          </w:tcPr>
          <w:p w:rsidR="00912650" w:rsidRPr="007B4831" w:rsidRDefault="00912650" w:rsidP="00912650"/>
        </w:tc>
        <w:tc>
          <w:tcPr>
            <w:tcW w:w="529" w:type="pct"/>
            <w:vAlign w:val="center"/>
          </w:tcPr>
          <w:p w:rsidR="00912650" w:rsidRPr="007B4831" w:rsidRDefault="00912650" w:rsidP="00912650"/>
        </w:tc>
        <w:tc>
          <w:tcPr>
            <w:tcW w:w="400" w:type="pct"/>
            <w:vAlign w:val="center"/>
          </w:tcPr>
          <w:p w:rsidR="00912650" w:rsidRPr="007B4831" w:rsidRDefault="00912650" w:rsidP="00912650"/>
        </w:tc>
      </w:tr>
      <w:tr w:rsidR="00912650" w:rsidRPr="00FA7DCF" w:rsidTr="00C73D7E"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912650" w:rsidRPr="007B4831" w:rsidRDefault="007F57DE" w:rsidP="00912650">
            <w:r>
              <w:t>6.4</w:t>
            </w:r>
          </w:p>
        </w:tc>
        <w:tc>
          <w:tcPr>
            <w:tcW w:w="3414" w:type="pct"/>
            <w:tcBorders>
              <w:bottom w:val="single" w:sz="4" w:space="0" w:color="auto"/>
            </w:tcBorders>
            <w:vAlign w:val="center"/>
          </w:tcPr>
          <w:p w:rsidR="00912650" w:rsidRPr="007B4831" w:rsidRDefault="00912650" w:rsidP="00375A53">
            <w:r w:rsidRPr="007B4831">
              <w:t>In uw PR materiaal (website, folder, schoolgids) staat vermeld dat u werkt volgens de meldcode.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912650" w:rsidRPr="007B4831" w:rsidRDefault="00912650" w:rsidP="00912650"/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912650" w:rsidRPr="007B4831" w:rsidRDefault="00912650" w:rsidP="00912650"/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912650" w:rsidRPr="007B4831" w:rsidRDefault="00912650" w:rsidP="00912650"/>
        </w:tc>
      </w:tr>
      <w:tr w:rsidR="00912650" w:rsidRPr="00FA7DCF" w:rsidTr="00C73D7E">
        <w:tc>
          <w:tcPr>
            <w:tcW w:w="317" w:type="pct"/>
            <w:tcBorders>
              <w:left w:val="nil"/>
              <w:right w:val="nil"/>
            </w:tcBorders>
            <w:vAlign w:val="center"/>
          </w:tcPr>
          <w:p w:rsidR="00912650" w:rsidRPr="007B4831" w:rsidRDefault="00912650" w:rsidP="00912650"/>
        </w:tc>
        <w:tc>
          <w:tcPr>
            <w:tcW w:w="3414" w:type="pct"/>
            <w:tcBorders>
              <w:left w:val="nil"/>
              <w:right w:val="nil"/>
            </w:tcBorders>
            <w:vAlign w:val="center"/>
          </w:tcPr>
          <w:p w:rsidR="00912650" w:rsidRPr="007B4831" w:rsidRDefault="00912650" w:rsidP="00912650"/>
          <w:p w:rsidR="00912650" w:rsidRPr="007B4831" w:rsidRDefault="00912650" w:rsidP="00912650"/>
        </w:tc>
        <w:tc>
          <w:tcPr>
            <w:tcW w:w="339" w:type="pct"/>
            <w:tcBorders>
              <w:left w:val="nil"/>
              <w:right w:val="nil"/>
            </w:tcBorders>
            <w:vAlign w:val="center"/>
          </w:tcPr>
          <w:p w:rsidR="00912650" w:rsidRPr="007B4831" w:rsidRDefault="00912650" w:rsidP="00912650"/>
        </w:tc>
        <w:tc>
          <w:tcPr>
            <w:tcW w:w="529" w:type="pct"/>
            <w:tcBorders>
              <w:left w:val="nil"/>
              <w:right w:val="nil"/>
            </w:tcBorders>
            <w:vAlign w:val="center"/>
          </w:tcPr>
          <w:p w:rsidR="00912650" w:rsidRPr="007B4831" w:rsidRDefault="00912650" w:rsidP="00912650"/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:rsidR="00912650" w:rsidRPr="007B4831" w:rsidRDefault="00912650" w:rsidP="00912650"/>
        </w:tc>
      </w:tr>
      <w:tr w:rsidR="00912650" w:rsidRPr="007B4831" w:rsidTr="00C73D7E">
        <w:tc>
          <w:tcPr>
            <w:tcW w:w="317" w:type="pct"/>
            <w:vAlign w:val="center"/>
          </w:tcPr>
          <w:p w:rsidR="00912650" w:rsidRPr="007B4831" w:rsidRDefault="00912650" w:rsidP="00912650">
            <w:pPr>
              <w:rPr>
                <w:rStyle w:val="Standaardvet"/>
              </w:rPr>
            </w:pPr>
            <w:r w:rsidRPr="007B4831">
              <w:rPr>
                <w:rStyle w:val="Standaardvet"/>
              </w:rPr>
              <w:t>7.</w:t>
            </w:r>
          </w:p>
        </w:tc>
        <w:tc>
          <w:tcPr>
            <w:tcW w:w="3414" w:type="pct"/>
            <w:vAlign w:val="center"/>
          </w:tcPr>
          <w:p w:rsidR="00912650" w:rsidRPr="007B4831" w:rsidRDefault="00912650" w:rsidP="00912650">
            <w:pPr>
              <w:rPr>
                <w:rStyle w:val="Standaardvet"/>
              </w:rPr>
            </w:pPr>
            <w:r w:rsidRPr="007B4831">
              <w:rPr>
                <w:rStyle w:val="Standaardvet"/>
              </w:rPr>
              <w:t>Scholing</w:t>
            </w:r>
          </w:p>
        </w:tc>
        <w:tc>
          <w:tcPr>
            <w:tcW w:w="339" w:type="pct"/>
            <w:vAlign w:val="center"/>
          </w:tcPr>
          <w:p w:rsidR="00912650" w:rsidRPr="007B4831" w:rsidRDefault="00912650" w:rsidP="00912650">
            <w:pPr>
              <w:rPr>
                <w:rStyle w:val="Standaardvet"/>
              </w:rPr>
            </w:pPr>
            <w:r w:rsidRPr="007B4831">
              <w:rPr>
                <w:rStyle w:val="Standaardvet"/>
              </w:rPr>
              <w:t>In orde</w:t>
            </w:r>
          </w:p>
        </w:tc>
        <w:tc>
          <w:tcPr>
            <w:tcW w:w="529" w:type="pct"/>
            <w:vAlign w:val="center"/>
          </w:tcPr>
          <w:p w:rsidR="00912650" w:rsidRPr="007B4831" w:rsidRDefault="00912650" w:rsidP="00912650">
            <w:pPr>
              <w:rPr>
                <w:rStyle w:val="Standaardvet"/>
              </w:rPr>
            </w:pPr>
            <w:r w:rsidRPr="007B4831">
              <w:rPr>
                <w:rStyle w:val="Standaardvet"/>
              </w:rPr>
              <w:t>Actie gewenst</w:t>
            </w:r>
          </w:p>
        </w:tc>
        <w:tc>
          <w:tcPr>
            <w:tcW w:w="400" w:type="pct"/>
            <w:vAlign w:val="center"/>
          </w:tcPr>
          <w:p w:rsidR="00912650" w:rsidRPr="007B4831" w:rsidRDefault="00912650" w:rsidP="00912650">
            <w:pPr>
              <w:rPr>
                <w:rStyle w:val="Standaardvet"/>
              </w:rPr>
            </w:pPr>
            <w:r w:rsidRPr="007B4831">
              <w:rPr>
                <w:rStyle w:val="Standaardvet"/>
              </w:rPr>
              <w:t>N.v.t.</w:t>
            </w:r>
          </w:p>
        </w:tc>
      </w:tr>
      <w:tr w:rsidR="00912650" w:rsidRPr="00FA7DCF" w:rsidTr="00C73D7E">
        <w:tc>
          <w:tcPr>
            <w:tcW w:w="317" w:type="pct"/>
            <w:vAlign w:val="center"/>
          </w:tcPr>
          <w:p w:rsidR="00912650" w:rsidRPr="007B4831" w:rsidRDefault="00912650" w:rsidP="00912650">
            <w:r w:rsidRPr="007B4831">
              <w:t>7.1</w:t>
            </w:r>
          </w:p>
        </w:tc>
        <w:tc>
          <w:tcPr>
            <w:tcW w:w="3414" w:type="pct"/>
            <w:vAlign w:val="center"/>
          </w:tcPr>
          <w:p w:rsidR="00912650" w:rsidRPr="007B4831" w:rsidRDefault="00912650" w:rsidP="00CE7C1D">
            <w:r w:rsidRPr="007B4831">
              <w:t>Regelmatige, terugkerende scholing op gebied van kindermishandeling</w:t>
            </w:r>
            <w:r w:rsidR="00375A53">
              <w:t xml:space="preserve"> en huiselijk geweld</w:t>
            </w:r>
            <w:r w:rsidRPr="007B4831">
              <w:t xml:space="preserve"> is opgenomen in het (meerjaren) scholingsbeleid.</w:t>
            </w:r>
          </w:p>
        </w:tc>
        <w:tc>
          <w:tcPr>
            <w:tcW w:w="339" w:type="pct"/>
            <w:vAlign w:val="center"/>
          </w:tcPr>
          <w:p w:rsidR="00912650" w:rsidRPr="007B4831" w:rsidRDefault="00912650" w:rsidP="00912650"/>
        </w:tc>
        <w:tc>
          <w:tcPr>
            <w:tcW w:w="529" w:type="pct"/>
            <w:vAlign w:val="center"/>
          </w:tcPr>
          <w:p w:rsidR="00912650" w:rsidRPr="007B4831" w:rsidRDefault="00912650" w:rsidP="00912650"/>
        </w:tc>
        <w:tc>
          <w:tcPr>
            <w:tcW w:w="400" w:type="pct"/>
            <w:vAlign w:val="center"/>
          </w:tcPr>
          <w:p w:rsidR="00912650" w:rsidRPr="007B4831" w:rsidRDefault="00912650" w:rsidP="00912650"/>
        </w:tc>
      </w:tr>
      <w:tr w:rsidR="00912650" w:rsidRPr="00FA7DCF" w:rsidTr="00C73D7E">
        <w:tc>
          <w:tcPr>
            <w:tcW w:w="317" w:type="pct"/>
            <w:vAlign w:val="center"/>
          </w:tcPr>
          <w:p w:rsidR="00912650" w:rsidRPr="007B4831" w:rsidRDefault="00912650" w:rsidP="00912650">
            <w:r w:rsidRPr="007B4831">
              <w:t>7.2</w:t>
            </w:r>
          </w:p>
        </w:tc>
        <w:tc>
          <w:tcPr>
            <w:tcW w:w="3414" w:type="pct"/>
            <w:vAlign w:val="center"/>
          </w:tcPr>
          <w:p w:rsidR="00912650" w:rsidRPr="007B4831" w:rsidRDefault="00912650" w:rsidP="00912650">
            <w:r w:rsidRPr="007B4831">
              <w:t>Alle nieuwe medewerkers krijgen in het eerste jaar scholing op het gebied van</w:t>
            </w:r>
            <w:r w:rsidR="00375A53">
              <w:t xml:space="preserve"> huiselijk geweld en</w:t>
            </w:r>
            <w:r w:rsidRPr="007B4831">
              <w:t xml:space="preserve"> kindermishandeling indien zij dit nog niet hebben gehad.</w:t>
            </w:r>
          </w:p>
        </w:tc>
        <w:tc>
          <w:tcPr>
            <w:tcW w:w="339" w:type="pct"/>
            <w:vAlign w:val="center"/>
          </w:tcPr>
          <w:p w:rsidR="00912650" w:rsidRPr="007B4831" w:rsidRDefault="00912650" w:rsidP="00912650"/>
        </w:tc>
        <w:tc>
          <w:tcPr>
            <w:tcW w:w="529" w:type="pct"/>
            <w:vAlign w:val="center"/>
          </w:tcPr>
          <w:p w:rsidR="00912650" w:rsidRPr="007B4831" w:rsidRDefault="00912650" w:rsidP="00912650"/>
        </w:tc>
        <w:tc>
          <w:tcPr>
            <w:tcW w:w="400" w:type="pct"/>
            <w:vAlign w:val="center"/>
          </w:tcPr>
          <w:p w:rsidR="00912650" w:rsidRPr="007B4831" w:rsidRDefault="00912650" w:rsidP="00912650"/>
        </w:tc>
      </w:tr>
      <w:tr w:rsidR="00912650" w:rsidRPr="00FA7DCF" w:rsidTr="00C73D7E"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912650" w:rsidRPr="007B4831" w:rsidRDefault="00912650" w:rsidP="00912650">
            <w:r w:rsidRPr="007B4831">
              <w:t>7.3</w:t>
            </w:r>
          </w:p>
        </w:tc>
        <w:tc>
          <w:tcPr>
            <w:tcW w:w="3414" w:type="pct"/>
            <w:tcBorders>
              <w:bottom w:val="single" w:sz="4" w:space="0" w:color="auto"/>
            </w:tcBorders>
            <w:vAlign w:val="center"/>
          </w:tcPr>
          <w:p w:rsidR="00912650" w:rsidRPr="007B4831" w:rsidRDefault="00912650" w:rsidP="00912650">
            <w:r w:rsidRPr="007B4831">
              <w:t xml:space="preserve">Alle medewerkers zijn voldoende geschoold om </w:t>
            </w:r>
            <w:r w:rsidR="00375A53">
              <w:t xml:space="preserve">huiselijk geweld en </w:t>
            </w:r>
            <w:r w:rsidRPr="007B4831">
              <w:t>kindermishandeling te kunnen signaleren en te werken volgens de meldcode.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912650" w:rsidRPr="007B4831" w:rsidRDefault="00912650" w:rsidP="00912650"/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912650" w:rsidRPr="007B4831" w:rsidRDefault="00912650" w:rsidP="00912650"/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912650" w:rsidRPr="007B4831" w:rsidRDefault="00912650" w:rsidP="00912650"/>
        </w:tc>
      </w:tr>
    </w:tbl>
    <w:p w:rsidR="00912650" w:rsidRDefault="00912650" w:rsidP="00F5185E">
      <w:pPr>
        <w:pStyle w:val="Footer"/>
      </w:pPr>
    </w:p>
    <w:sectPr w:rsidR="00912650" w:rsidSect="00F5185E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9FF" w:rsidRDefault="007319FF" w:rsidP="00C6791A">
      <w:pPr>
        <w:spacing w:line="240" w:lineRule="auto"/>
      </w:pPr>
      <w:r>
        <w:separator/>
      </w:r>
    </w:p>
  </w:endnote>
  <w:endnote w:type="continuationSeparator" w:id="0">
    <w:p w:rsidR="007319FF" w:rsidRDefault="007319FF" w:rsidP="00C67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SO BT">
    <w:altName w:val="Corbe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7E" w:rsidRDefault="00C73D7E">
    <w:pPr>
      <w:pStyle w:val="Footer"/>
    </w:pPr>
  </w:p>
  <w:p w:rsidR="009A4D23" w:rsidRPr="009A4D23" w:rsidRDefault="009A4D23" w:rsidP="009A4D23">
    <w:pPr>
      <w:pStyle w:val="Footer"/>
      <w:tabs>
        <w:tab w:val="clear" w:pos="4536"/>
        <w:tab w:val="left" w:pos="2977"/>
      </w:tabs>
      <w:rPr>
        <w:rFonts w:ascii="Calibri" w:hAnsi="Calibri"/>
        <w:sz w:val="24"/>
      </w:rPr>
    </w:pPr>
    <w:r w:rsidRPr="009A4D23">
      <w:rPr>
        <w:rFonts w:ascii="Calibri" w:hAnsi="Calibri"/>
        <w:noProof/>
        <w:sz w:val="24"/>
      </w:rPr>
      <w:drawing>
        <wp:inline distT="0" distB="0" distL="0" distR="0">
          <wp:extent cx="352425" cy="390525"/>
          <wp:effectExtent l="19050" t="0" r="9525" b="0"/>
          <wp:docPr id="1" name="Afbeelding 4" descr="..\..\..\img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..\..\..\img\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A4D23">
      <w:rPr>
        <w:rFonts w:ascii="Calibri" w:hAnsi="Calibri"/>
        <w:sz w:val="24"/>
      </w:rPr>
      <w:t xml:space="preserve">© NHTC 2019  </w:t>
    </w:r>
    <w:r w:rsidRPr="009A4D23">
      <w:rPr>
        <w:rFonts w:ascii="Calibri" w:hAnsi="Calibri"/>
        <w:sz w:val="24"/>
      </w:rPr>
      <w:tab/>
      <w:t>www.toolkitaandachtsfunctionaris.nl</w:t>
    </w:r>
    <w:r w:rsidRPr="009A4D23">
      <w:rPr>
        <w:rFonts w:ascii="Calibri" w:hAnsi="Calibri"/>
        <w:sz w:val="24"/>
      </w:rPr>
      <w:tab/>
      <w:t>www.nhtc.nl</w:t>
    </w:r>
  </w:p>
  <w:p w:rsidR="00C73D7E" w:rsidRDefault="00C73D7E">
    <w:pPr>
      <w:pStyle w:val="Footer"/>
    </w:pPr>
  </w:p>
  <w:p w:rsidR="00C6791A" w:rsidRDefault="00C679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9FF" w:rsidRDefault="007319FF" w:rsidP="00C6791A">
      <w:pPr>
        <w:spacing w:line="240" w:lineRule="auto"/>
      </w:pPr>
      <w:r>
        <w:separator/>
      </w:r>
    </w:p>
  </w:footnote>
  <w:footnote w:type="continuationSeparator" w:id="0">
    <w:p w:rsidR="007319FF" w:rsidRDefault="007319FF" w:rsidP="00C679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650"/>
    <w:rsid w:val="00004F33"/>
    <w:rsid w:val="00016008"/>
    <w:rsid w:val="00017EF4"/>
    <w:rsid w:val="00025B44"/>
    <w:rsid w:val="000414F6"/>
    <w:rsid w:val="00047CF9"/>
    <w:rsid w:val="000516FA"/>
    <w:rsid w:val="00067D6E"/>
    <w:rsid w:val="0009090A"/>
    <w:rsid w:val="000A06AB"/>
    <w:rsid w:val="000A1D27"/>
    <w:rsid w:val="000A54B7"/>
    <w:rsid w:val="000B3589"/>
    <w:rsid w:val="000B47D7"/>
    <w:rsid w:val="000B7074"/>
    <w:rsid w:val="000B7296"/>
    <w:rsid w:val="000B77DC"/>
    <w:rsid w:val="000D26AD"/>
    <w:rsid w:val="000E5021"/>
    <w:rsid w:val="000E5FA7"/>
    <w:rsid w:val="000F74AC"/>
    <w:rsid w:val="001001D0"/>
    <w:rsid w:val="00105602"/>
    <w:rsid w:val="00132BE7"/>
    <w:rsid w:val="001509AF"/>
    <w:rsid w:val="00161776"/>
    <w:rsid w:val="001746F4"/>
    <w:rsid w:val="00174745"/>
    <w:rsid w:val="001767E2"/>
    <w:rsid w:val="0017750C"/>
    <w:rsid w:val="0018369E"/>
    <w:rsid w:val="0019406F"/>
    <w:rsid w:val="001A370D"/>
    <w:rsid w:val="001B09D1"/>
    <w:rsid w:val="001B1217"/>
    <w:rsid w:val="001B4607"/>
    <w:rsid w:val="001B5313"/>
    <w:rsid w:val="001B5DAB"/>
    <w:rsid w:val="001C3F6A"/>
    <w:rsid w:val="001C4484"/>
    <w:rsid w:val="001C6F0D"/>
    <w:rsid w:val="001D4A62"/>
    <w:rsid w:val="001E0442"/>
    <w:rsid w:val="001F03B7"/>
    <w:rsid w:val="001F17F7"/>
    <w:rsid w:val="001F2D51"/>
    <w:rsid w:val="00205429"/>
    <w:rsid w:val="002138F8"/>
    <w:rsid w:val="0021689A"/>
    <w:rsid w:val="00220A59"/>
    <w:rsid w:val="00221E31"/>
    <w:rsid w:val="00221ECD"/>
    <w:rsid w:val="0023541D"/>
    <w:rsid w:val="00235730"/>
    <w:rsid w:val="00241662"/>
    <w:rsid w:val="0024461E"/>
    <w:rsid w:val="00253AC5"/>
    <w:rsid w:val="00257A5A"/>
    <w:rsid w:val="002607B6"/>
    <w:rsid w:val="00267491"/>
    <w:rsid w:val="002747AF"/>
    <w:rsid w:val="00275CA4"/>
    <w:rsid w:val="0028556B"/>
    <w:rsid w:val="00297D67"/>
    <w:rsid w:val="002A2CA1"/>
    <w:rsid w:val="002A68F7"/>
    <w:rsid w:val="002A6F70"/>
    <w:rsid w:val="002A7BBA"/>
    <w:rsid w:val="002B2A74"/>
    <w:rsid w:val="002B617F"/>
    <w:rsid w:val="002C4186"/>
    <w:rsid w:val="002C430A"/>
    <w:rsid w:val="002C552B"/>
    <w:rsid w:val="002C6846"/>
    <w:rsid w:val="002D2228"/>
    <w:rsid w:val="002D2526"/>
    <w:rsid w:val="002D3E38"/>
    <w:rsid w:val="002D3EA8"/>
    <w:rsid w:val="002D7EDC"/>
    <w:rsid w:val="002E0909"/>
    <w:rsid w:val="00302A35"/>
    <w:rsid w:val="003212E9"/>
    <w:rsid w:val="00327268"/>
    <w:rsid w:val="003313E0"/>
    <w:rsid w:val="00332FBA"/>
    <w:rsid w:val="0033572C"/>
    <w:rsid w:val="0033633E"/>
    <w:rsid w:val="00347089"/>
    <w:rsid w:val="003507B3"/>
    <w:rsid w:val="003508F8"/>
    <w:rsid w:val="0036290A"/>
    <w:rsid w:val="00371C1C"/>
    <w:rsid w:val="00375A53"/>
    <w:rsid w:val="0038493E"/>
    <w:rsid w:val="00390E8A"/>
    <w:rsid w:val="003A172F"/>
    <w:rsid w:val="003A1CB8"/>
    <w:rsid w:val="003A49C0"/>
    <w:rsid w:val="003A59E3"/>
    <w:rsid w:val="003B3587"/>
    <w:rsid w:val="003C3181"/>
    <w:rsid w:val="003E3B3C"/>
    <w:rsid w:val="003E640E"/>
    <w:rsid w:val="003F3970"/>
    <w:rsid w:val="003F3A0C"/>
    <w:rsid w:val="00410B30"/>
    <w:rsid w:val="0041730C"/>
    <w:rsid w:val="00421BDF"/>
    <w:rsid w:val="0042231E"/>
    <w:rsid w:val="00434E14"/>
    <w:rsid w:val="00436B97"/>
    <w:rsid w:val="004576F8"/>
    <w:rsid w:val="004605BB"/>
    <w:rsid w:val="00470261"/>
    <w:rsid w:val="004743C6"/>
    <w:rsid w:val="004818BE"/>
    <w:rsid w:val="00482555"/>
    <w:rsid w:val="004B358A"/>
    <w:rsid w:val="004B70D5"/>
    <w:rsid w:val="004C0ACB"/>
    <w:rsid w:val="004C0EFF"/>
    <w:rsid w:val="004D1441"/>
    <w:rsid w:val="004E35F5"/>
    <w:rsid w:val="004E418A"/>
    <w:rsid w:val="004F33D1"/>
    <w:rsid w:val="0051708F"/>
    <w:rsid w:val="00517326"/>
    <w:rsid w:val="00521A44"/>
    <w:rsid w:val="0053083F"/>
    <w:rsid w:val="00551B85"/>
    <w:rsid w:val="005534C9"/>
    <w:rsid w:val="00553DE5"/>
    <w:rsid w:val="005703D8"/>
    <w:rsid w:val="005706C8"/>
    <w:rsid w:val="00570C40"/>
    <w:rsid w:val="005720D7"/>
    <w:rsid w:val="00576013"/>
    <w:rsid w:val="005860F1"/>
    <w:rsid w:val="00597644"/>
    <w:rsid w:val="005B61C9"/>
    <w:rsid w:val="005B797C"/>
    <w:rsid w:val="005C3693"/>
    <w:rsid w:val="005D3BBA"/>
    <w:rsid w:val="005D45C3"/>
    <w:rsid w:val="005E0D89"/>
    <w:rsid w:val="005E1DBC"/>
    <w:rsid w:val="005E30EC"/>
    <w:rsid w:val="005E42AB"/>
    <w:rsid w:val="005F3139"/>
    <w:rsid w:val="005F3653"/>
    <w:rsid w:val="005F6BD7"/>
    <w:rsid w:val="00616582"/>
    <w:rsid w:val="00622711"/>
    <w:rsid w:val="006329DF"/>
    <w:rsid w:val="006341B8"/>
    <w:rsid w:val="006479C7"/>
    <w:rsid w:val="006568C3"/>
    <w:rsid w:val="0066535E"/>
    <w:rsid w:val="00670866"/>
    <w:rsid w:val="00670DEE"/>
    <w:rsid w:val="00674BC4"/>
    <w:rsid w:val="0067539B"/>
    <w:rsid w:val="00677910"/>
    <w:rsid w:val="00681099"/>
    <w:rsid w:val="00682441"/>
    <w:rsid w:val="00697F3F"/>
    <w:rsid w:val="006A05C3"/>
    <w:rsid w:val="006A05C6"/>
    <w:rsid w:val="006A4B16"/>
    <w:rsid w:val="006A5674"/>
    <w:rsid w:val="006A56B0"/>
    <w:rsid w:val="006A795C"/>
    <w:rsid w:val="006C3CBA"/>
    <w:rsid w:val="006C438F"/>
    <w:rsid w:val="006C6F53"/>
    <w:rsid w:val="006D01C8"/>
    <w:rsid w:val="006D5432"/>
    <w:rsid w:val="006E7731"/>
    <w:rsid w:val="006F272D"/>
    <w:rsid w:val="00700863"/>
    <w:rsid w:val="007131C4"/>
    <w:rsid w:val="00714548"/>
    <w:rsid w:val="00715ADA"/>
    <w:rsid w:val="007162E2"/>
    <w:rsid w:val="00723132"/>
    <w:rsid w:val="007258B9"/>
    <w:rsid w:val="007319FF"/>
    <w:rsid w:val="0073423D"/>
    <w:rsid w:val="00742430"/>
    <w:rsid w:val="00743F00"/>
    <w:rsid w:val="00754D20"/>
    <w:rsid w:val="0075619E"/>
    <w:rsid w:val="00761A14"/>
    <w:rsid w:val="00763FC2"/>
    <w:rsid w:val="00764879"/>
    <w:rsid w:val="00766220"/>
    <w:rsid w:val="00767741"/>
    <w:rsid w:val="00770305"/>
    <w:rsid w:val="0077615A"/>
    <w:rsid w:val="00781960"/>
    <w:rsid w:val="00782902"/>
    <w:rsid w:val="00797891"/>
    <w:rsid w:val="007A082B"/>
    <w:rsid w:val="007A3AA8"/>
    <w:rsid w:val="007B66B6"/>
    <w:rsid w:val="007B6DAC"/>
    <w:rsid w:val="007C152A"/>
    <w:rsid w:val="007C58BE"/>
    <w:rsid w:val="007C5BAD"/>
    <w:rsid w:val="007C63C8"/>
    <w:rsid w:val="007D2258"/>
    <w:rsid w:val="007E4846"/>
    <w:rsid w:val="007E7444"/>
    <w:rsid w:val="007E7EC2"/>
    <w:rsid w:val="007F57DE"/>
    <w:rsid w:val="00812DA8"/>
    <w:rsid w:val="00814433"/>
    <w:rsid w:val="00814A2B"/>
    <w:rsid w:val="00815130"/>
    <w:rsid w:val="00817E64"/>
    <w:rsid w:val="008205F8"/>
    <w:rsid w:val="00825582"/>
    <w:rsid w:val="008272A9"/>
    <w:rsid w:val="00831285"/>
    <w:rsid w:val="00831DFA"/>
    <w:rsid w:val="00832315"/>
    <w:rsid w:val="00834EC0"/>
    <w:rsid w:val="0084247E"/>
    <w:rsid w:val="008659D6"/>
    <w:rsid w:val="008709D9"/>
    <w:rsid w:val="008763CD"/>
    <w:rsid w:val="008819C4"/>
    <w:rsid w:val="008826D2"/>
    <w:rsid w:val="0088273C"/>
    <w:rsid w:val="0089237F"/>
    <w:rsid w:val="00894E40"/>
    <w:rsid w:val="008A3D4F"/>
    <w:rsid w:val="008A521D"/>
    <w:rsid w:val="008C7839"/>
    <w:rsid w:val="008D330E"/>
    <w:rsid w:val="008D33EF"/>
    <w:rsid w:val="008E1CA7"/>
    <w:rsid w:val="008F4D98"/>
    <w:rsid w:val="008F7902"/>
    <w:rsid w:val="009010AD"/>
    <w:rsid w:val="00904164"/>
    <w:rsid w:val="00904671"/>
    <w:rsid w:val="00912650"/>
    <w:rsid w:val="00913D22"/>
    <w:rsid w:val="0092516A"/>
    <w:rsid w:val="00930879"/>
    <w:rsid w:val="00941861"/>
    <w:rsid w:val="00943564"/>
    <w:rsid w:val="009509C7"/>
    <w:rsid w:val="00954089"/>
    <w:rsid w:val="009562C6"/>
    <w:rsid w:val="00956811"/>
    <w:rsid w:val="00961634"/>
    <w:rsid w:val="00971116"/>
    <w:rsid w:val="00971BEE"/>
    <w:rsid w:val="00975305"/>
    <w:rsid w:val="009823CD"/>
    <w:rsid w:val="00983D01"/>
    <w:rsid w:val="00991A8A"/>
    <w:rsid w:val="009952AF"/>
    <w:rsid w:val="00997F98"/>
    <w:rsid w:val="009A0A4B"/>
    <w:rsid w:val="009A4D23"/>
    <w:rsid w:val="009B0C20"/>
    <w:rsid w:val="009B3DAF"/>
    <w:rsid w:val="009C4B86"/>
    <w:rsid w:val="009C4D97"/>
    <w:rsid w:val="009E1A3F"/>
    <w:rsid w:val="009E35E9"/>
    <w:rsid w:val="009E7B92"/>
    <w:rsid w:val="009F4D4B"/>
    <w:rsid w:val="009F55D5"/>
    <w:rsid w:val="00A01A9C"/>
    <w:rsid w:val="00A032D3"/>
    <w:rsid w:val="00A0662D"/>
    <w:rsid w:val="00A07398"/>
    <w:rsid w:val="00A0775F"/>
    <w:rsid w:val="00A14B12"/>
    <w:rsid w:val="00A15301"/>
    <w:rsid w:val="00A21B88"/>
    <w:rsid w:val="00A35437"/>
    <w:rsid w:val="00A35570"/>
    <w:rsid w:val="00A36309"/>
    <w:rsid w:val="00A421D5"/>
    <w:rsid w:val="00A570F3"/>
    <w:rsid w:val="00A61ED5"/>
    <w:rsid w:val="00A63F18"/>
    <w:rsid w:val="00A733D3"/>
    <w:rsid w:val="00A74F3A"/>
    <w:rsid w:val="00A772B1"/>
    <w:rsid w:val="00A8060F"/>
    <w:rsid w:val="00A914EE"/>
    <w:rsid w:val="00AA1BAB"/>
    <w:rsid w:val="00AA34A2"/>
    <w:rsid w:val="00AA47BD"/>
    <w:rsid w:val="00AB3647"/>
    <w:rsid w:val="00AC2A5C"/>
    <w:rsid w:val="00AC4DE6"/>
    <w:rsid w:val="00AD0AE0"/>
    <w:rsid w:val="00AD7D26"/>
    <w:rsid w:val="00AF75FC"/>
    <w:rsid w:val="00B01D83"/>
    <w:rsid w:val="00B02E44"/>
    <w:rsid w:val="00B04261"/>
    <w:rsid w:val="00B06822"/>
    <w:rsid w:val="00B14D20"/>
    <w:rsid w:val="00B22089"/>
    <w:rsid w:val="00B25632"/>
    <w:rsid w:val="00B30FC4"/>
    <w:rsid w:val="00B33FDF"/>
    <w:rsid w:val="00B64962"/>
    <w:rsid w:val="00B66A64"/>
    <w:rsid w:val="00B708FE"/>
    <w:rsid w:val="00B715DD"/>
    <w:rsid w:val="00B77434"/>
    <w:rsid w:val="00B77BB5"/>
    <w:rsid w:val="00B867C6"/>
    <w:rsid w:val="00B86E06"/>
    <w:rsid w:val="00B928BD"/>
    <w:rsid w:val="00B94298"/>
    <w:rsid w:val="00B96734"/>
    <w:rsid w:val="00B972DB"/>
    <w:rsid w:val="00BB00F3"/>
    <w:rsid w:val="00BB684E"/>
    <w:rsid w:val="00BC4F06"/>
    <w:rsid w:val="00BD0740"/>
    <w:rsid w:val="00BD361C"/>
    <w:rsid w:val="00BE183A"/>
    <w:rsid w:val="00BF0901"/>
    <w:rsid w:val="00BF43C0"/>
    <w:rsid w:val="00BF5DA2"/>
    <w:rsid w:val="00BF60AA"/>
    <w:rsid w:val="00C0241A"/>
    <w:rsid w:val="00C06851"/>
    <w:rsid w:val="00C21024"/>
    <w:rsid w:val="00C304C6"/>
    <w:rsid w:val="00C37181"/>
    <w:rsid w:val="00C46249"/>
    <w:rsid w:val="00C50D84"/>
    <w:rsid w:val="00C50E07"/>
    <w:rsid w:val="00C54089"/>
    <w:rsid w:val="00C6351F"/>
    <w:rsid w:val="00C6791A"/>
    <w:rsid w:val="00C73D7E"/>
    <w:rsid w:val="00C96FA4"/>
    <w:rsid w:val="00C979B8"/>
    <w:rsid w:val="00C97C0D"/>
    <w:rsid w:val="00CA1786"/>
    <w:rsid w:val="00CA2889"/>
    <w:rsid w:val="00CA39B4"/>
    <w:rsid w:val="00CA79F2"/>
    <w:rsid w:val="00CA7F9F"/>
    <w:rsid w:val="00CB5BD3"/>
    <w:rsid w:val="00CB7287"/>
    <w:rsid w:val="00CC2DCF"/>
    <w:rsid w:val="00CC330D"/>
    <w:rsid w:val="00CD0E72"/>
    <w:rsid w:val="00CD1EA9"/>
    <w:rsid w:val="00CD546D"/>
    <w:rsid w:val="00CD66C2"/>
    <w:rsid w:val="00CE5600"/>
    <w:rsid w:val="00CE62B7"/>
    <w:rsid w:val="00CE7C1D"/>
    <w:rsid w:val="00CF0C88"/>
    <w:rsid w:val="00CF1508"/>
    <w:rsid w:val="00CF5F8A"/>
    <w:rsid w:val="00D022F6"/>
    <w:rsid w:val="00D07424"/>
    <w:rsid w:val="00D20A4F"/>
    <w:rsid w:val="00D24BE2"/>
    <w:rsid w:val="00D37521"/>
    <w:rsid w:val="00D54DEA"/>
    <w:rsid w:val="00D6528B"/>
    <w:rsid w:val="00D73590"/>
    <w:rsid w:val="00D7740D"/>
    <w:rsid w:val="00D910DE"/>
    <w:rsid w:val="00D96E11"/>
    <w:rsid w:val="00DA369A"/>
    <w:rsid w:val="00DA3FF9"/>
    <w:rsid w:val="00DB54DC"/>
    <w:rsid w:val="00DB7379"/>
    <w:rsid w:val="00DC2506"/>
    <w:rsid w:val="00DC41D0"/>
    <w:rsid w:val="00E04803"/>
    <w:rsid w:val="00E17AC0"/>
    <w:rsid w:val="00E20D32"/>
    <w:rsid w:val="00E2489E"/>
    <w:rsid w:val="00E32C62"/>
    <w:rsid w:val="00E37329"/>
    <w:rsid w:val="00E42F3B"/>
    <w:rsid w:val="00E528E7"/>
    <w:rsid w:val="00E6310D"/>
    <w:rsid w:val="00E66D8D"/>
    <w:rsid w:val="00E72988"/>
    <w:rsid w:val="00E839FB"/>
    <w:rsid w:val="00E8789E"/>
    <w:rsid w:val="00E92A0E"/>
    <w:rsid w:val="00E93028"/>
    <w:rsid w:val="00E93B50"/>
    <w:rsid w:val="00EA75EB"/>
    <w:rsid w:val="00EB0D68"/>
    <w:rsid w:val="00EB335D"/>
    <w:rsid w:val="00EB4A1D"/>
    <w:rsid w:val="00ED6332"/>
    <w:rsid w:val="00EE03CE"/>
    <w:rsid w:val="00EE5C8B"/>
    <w:rsid w:val="00F00638"/>
    <w:rsid w:val="00F006D0"/>
    <w:rsid w:val="00F0081E"/>
    <w:rsid w:val="00F01350"/>
    <w:rsid w:val="00F10B11"/>
    <w:rsid w:val="00F111CF"/>
    <w:rsid w:val="00F17707"/>
    <w:rsid w:val="00F23678"/>
    <w:rsid w:val="00F342DF"/>
    <w:rsid w:val="00F46D46"/>
    <w:rsid w:val="00F5185E"/>
    <w:rsid w:val="00F54107"/>
    <w:rsid w:val="00F718B4"/>
    <w:rsid w:val="00F7486F"/>
    <w:rsid w:val="00F75111"/>
    <w:rsid w:val="00F904A4"/>
    <w:rsid w:val="00F95926"/>
    <w:rsid w:val="00F964B3"/>
    <w:rsid w:val="00F9700B"/>
    <w:rsid w:val="00FB066D"/>
    <w:rsid w:val="00FC128D"/>
    <w:rsid w:val="00FC6E4F"/>
    <w:rsid w:val="00FD1C04"/>
    <w:rsid w:val="00FD3210"/>
    <w:rsid w:val="00FF2F70"/>
    <w:rsid w:val="00FF67D1"/>
    <w:rsid w:val="00FF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50"/>
    <w:pPr>
      <w:spacing w:line="280" w:lineRule="atLeast"/>
    </w:pPr>
    <w:rPr>
      <w:rFonts w:ascii="JSO BT" w:hAnsi="JSO BT"/>
      <w:szCs w:val="24"/>
    </w:rPr>
  </w:style>
  <w:style w:type="paragraph" w:styleId="Heading1">
    <w:name w:val="heading 1"/>
    <w:basedOn w:val="Normal"/>
    <w:next w:val="Normal"/>
    <w:qFormat/>
    <w:rsid w:val="00912650"/>
    <w:pPr>
      <w:keepNext/>
      <w:spacing w:before="280" w:after="280" w:line="240" w:lineRule="atLeast"/>
      <w:outlineLvl w:val="0"/>
    </w:pPr>
    <w:rPr>
      <w:rFonts w:cs="Arial"/>
      <w:bCs/>
      <w:kern w:val="32"/>
      <w:sz w:val="24"/>
      <w:szCs w:val="32"/>
    </w:rPr>
  </w:style>
  <w:style w:type="paragraph" w:styleId="Heading3">
    <w:name w:val="heading 3"/>
    <w:basedOn w:val="Normal"/>
    <w:next w:val="Normal"/>
    <w:qFormat/>
    <w:rsid w:val="00912650"/>
    <w:pPr>
      <w:keepNext/>
      <w:spacing w:before="28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2650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Standaardvet">
    <w:name w:val="Standaard vet"/>
    <w:basedOn w:val="DefaultParagraphFont"/>
    <w:rsid w:val="00912650"/>
    <w:rPr>
      <w:rFonts w:ascii="JSO BT" w:hAnsi="JSO BT"/>
      <w:b/>
    </w:rPr>
  </w:style>
  <w:style w:type="paragraph" w:styleId="Header">
    <w:name w:val="header"/>
    <w:basedOn w:val="Normal"/>
    <w:link w:val="HeaderChar"/>
    <w:rsid w:val="00C6791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6791A"/>
    <w:rPr>
      <w:rFonts w:ascii="JSO BT" w:hAnsi="JSO BT"/>
      <w:szCs w:val="24"/>
    </w:rPr>
  </w:style>
  <w:style w:type="character" w:customStyle="1" w:styleId="FooterChar">
    <w:name w:val="Footer Char"/>
    <w:basedOn w:val="DefaultParagraphFont"/>
    <w:link w:val="Footer"/>
    <w:rsid w:val="00C6791A"/>
    <w:rPr>
      <w:rFonts w:ascii="JSO BT" w:hAnsi="JSO BT"/>
      <w:sz w:val="18"/>
      <w:szCs w:val="24"/>
    </w:rPr>
  </w:style>
  <w:style w:type="paragraph" w:styleId="BalloonText">
    <w:name w:val="Balloon Text"/>
    <w:basedOn w:val="Normal"/>
    <w:link w:val="BalloonTextChar"/>
    <w:rsid w:val="00C679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Checklist Meldcode huiselijk geweld en kindermishandeling</vt:lpstr>
      <vt:lpstr>Checklist Meldcode huiselijk geweld en kindermishandeling</vt:lpstr>
    </vt:vector>
  </TitlesOfParts>
  <Company>Gewest Gooi en Vechtstreek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Meldcode huiselijk geweld en kindermishandeling</dc:title>
  <dc:creator>b.mantel</dc:creator>
  <cp:lastModifiedBy>Anja</cp:lastModifiedBy>
  <cp:revision>3</cp:revision>
  <dcterms:created xsi:type="dcterms:W3CDTF">2019-12-16T14:12:00Z</dcterms:created>
  <dcterms:modified xsi:type="dcterms:W3CDTF">2019-12-16T14:13:00Z</dcterms:modified>
</cp:coreProperties>
</file>